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1F2" w:rsidRDefault="00B251F2" w:rsidP="00B251F2">
      <w:pPr>
        <w:pStyle w:val="Heading1"/>
      </w:pPr>
      <w:r>
        <w:t>Stability analysis in a model of the human inner ear</w:t>
      </w:r>
      <w:r w:rsidR="00EF49C9">
        <w:t>, part 3</w:t>
      </w:r>
    </w:p>
    <w:p w:rsidR="006101D1" w:rsidRDefault="00C112A1" w:rsidP="00B251F2">
      <w:pPr>
        <w:pStyle w:val="Subtitle"/>
      </w:pPr>
      <w:r>
        <w:t>P</w:t>
      </w:r>
      <w:r w:rsidR="00B251F2">
        <w:t>roject proposal</w:t>
      </w:r>
    </w:p>
    <w:p w:rsidR="00B251F2" w:rsidRDefault="00F177B6" w:rsidP="00B251F2">
      <w:r>
        <w:rPr>
          <w:noProof/>
          <w:lang w:val="nl-NL"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4" o:spid="_x0000_s1027" type="#_x0000_t75" style="position:absolute;margin-left:179.3pt;margin-top:44.35pt;width:91pt;height:36pt;z-index:251659264">
            <v:imagedata r:id="rId8" o:title=""/>
          </v:shape>
          <o:OLEObject Type="Embed" ProgID="Equation.3" ShapeID="Object 4" DrawAspect="Content" ObjectID="_1510044143" r:id="rId9"/>
        </w:pict>
      </w:r>
      <w:r w:rsidR="00B251F2">
        <w:t xml:space="preserve">In the 1980s a computational (numerical) model of the human inner ear was developed in a cooperation between the depts. of Biophysics and Applied Mathematics at the </w:t>
      </w:r>
      <w:proofErr w:type="spellStart"/>
      <w:r w:rsidR="00B251F2">
        <w:t>RuG</w:t>
      </w:r>
      <w:proofErr w:type="spellEnd"/>
      <w:r w:rsidR="00B251F2">
        <w:t>. This model consists of a number (~400-1000) individual sections behaving as harmonic oscillators</w:t>
      </w:r>
      <w:r w:rsidR="002E169D">
        <w:t xml:space="preserve">, where the excitation </w:t>
      </w:r>
      <w:r w:rsidR="002E169D" w:rsidRPr="002E169D">
        <w:rPr>
          <w:i/>
        </w:rPr>
        <w:t>ζ</w:t>
      </w:r>
      <w:r w:rsidR="002E169D">
        <w:t xml:space="preserve"> is</w:t>
      </w:r>
      <w:r w:rsidR="00B251F2">
        <w:t xml:space="preserve"> governed by an equation of motion of the shape:</w:t>
      </w:r>
    </w:p>
    <w:p w:rsidR="00B251F2" w:rsidRDefault="00B251F2" w:rsidP="00B251F2"/>
    <w:p w:rsidR="00B251F2" w:rsidRDefault="00F177B6" w:rsidP="00B251F2">
      <w:r>
        <w:rPr>
          <w:noProof/>
          <w:lang w:val="nl-NL" w:eastAsia="nl-NL"/>
        </w:rPr>
        <w:pict>
          <v:shape id="_x0000_s1028" type="#_x0000_t75" style="position:absolute;margin-left:174.3pt;margin-top:56.5pt;width:95pt;height:33pt;z-index:251660288">
            <v:imagedata r:id="rId10" o:title=""/>
          </v:shape>
          <o:OLEObject Type="Embed" ProgID="Equation.3" ShapeID="_x0000_s1028" DrawAspect="Content" ObjectID="_1510044144" r:id="rId11"/>
        </w:pict>
      </w:r>
      <w:r w:rsidR="00B251F2">
        <w:t xml:space="preserve">where </w:t>
      </w:r>
      <w:r w:rsidR="00B251F2" w:rsidRPr="00B251F2">
        <w:rPr>
          <w:i/>
        </w:rPr>
        <w:t>m</w:t>
      </w:r>
      <w:r w:rsidR="00B251F2">
        <w:t xml:space="preserve"> is the mass of the section, </w:t>
      </w:r>
      <w:r w:rsidR="00B251F2" w:rsidRPr="00B251F2">
        <w:rPr>
          <w:i/>
        </w:rPr>
        <w:t>s</w:t>
      </w:r>
      <w:r w:rsidR="00B251F2">
        <w:t xml:space="preserve"> a stiffness restoring the section to its resting position and </w:t>
      </w:r>
      <w:r w:rsidR="00B251F2" w:rsidRPr="00B251F2">
        <w:rPr>
          <w:i/>
        </w:rPr>
        <w:t>d</w:t>
      </w:r>
      <w:r w:rsidR="00B251F2">
        <w:t xml:space="preserve"> a damping term. The driving force is represented by </w:t>
      </w:r>
      <w:r w:rsidR="00B251F2" w:rsidRPr="00B251F2">
        <w:rPr>
          <w:i/>
        </w:rPr>
        <w:t>p</w:t>
      </w:r>
      <w:r w:rsidR="00B251F2">
        <w:t xml:space="preserve"> and is a fluid pressure. All oscillators are coupled via an incompressible and inv</w:t>
      </w:r>
      <w:r w:rsidR="002E169D">
        <w:t xml:space="preserve">iscid fluid, and the values of </w:t>
      </w:r>
      <w:r w:rsidR="002E169D" w:rsidRPr="002E169D">
        <w:rPr>
          <w:i/>
        </w:rPr>
        <w:t>s</w:t>
      </w:r>
      <w:r w:rsidR="00B251F2">
        <w:t xml:space="preserve"> and </w:t>
      </w:r>
      <w:r w:rsidR="00B251F2" w:rsidRPr="002E169D">
        <w:rPr>
          <w:i/>
        </w:rPr>
        <w:t>d</w:t>
      </w:r>
      <w:r w:rsidR="002E169D">
        <w:t xml:space="preserve"> vary with th</w:t>
      </w:r>
      <w:r w:rsidR="00EF49C9">
        <w:t>e location of the oscillator. The</w:t>
      </w:r>
      <w:r w:rsidR="002E169D">
        <w:t xml:space="preserve"> equation </w:t>
      </w:r>
    </w:p>
    <w:p w:rsidR="002E169D" w:rsidRDefault="002E169D" w:rsidP="00B251F2">
      <w:r>
        <w:t xml:space="preserve"> </w:t>
      </w:r>
    </w:p>
    <w:p w:rsidR="002E169D" w:rsidRDefault="002E169D" w:rsidP="00B251F2">
      <w:r>
        <w:t xml:space="preserve">follows from conservation of mass in the fluid, where </w:t>
      </w:r>
      <w:r w:rsidRPr="002E169D">
        <w:rPr>
          <w:i/>
        </w:rPr>
        <w:t>A</w:t>
      </w:r>
      <w:r>
        <w:t xml:space="preserve"> is a surface area of a fluid channel, </w:t>
      </w:r>
      <w:r w:rsidRPr="002E169D">
        <w:rPr>
          <w:i/>
        </w:rPr>
        <w:t>ρ</w:t>
      </w:r>
      <w:r>
        <w:t xml:space="preserve"> the fluid density and </w:t>
      </w:r>
      <w:proofErr w:type="spellStart"/>
      <w:r w:rsidRPr="002E169D">
        <w:rPr>
          <w:i/>
        </w:rPr>
        <w:t>b</w:t>
      </w:r>
      <w:r w:rsidRPr="002E169D">
        <w:rPr>
          <w:i/>
          <w:vertAlign w:val="subscript"/>
        </w:rPr>
        <w:t>BM</w:t>
      </w:r>
      <w:proofErr w:type="spellEnd"/>
      <w:r>
        <w:t xml:space="preserve"> the width of an oscillator. The two equations are combined to </w:t>
      </w:r>
    </w:p>
    <w:p w:rsidR="002E169D" w:rsidRDefault="00F177B6" w:rsidP="00B251F2">
      <w:r>
        <w:rPr>
          <w:noProof/>
          <w:lang w:val="nl-NL" w:eastAsia="nl-NL"/>
        </w:rPr>
        <w:pict>
          <v:shape id="Object 5" o:spid="_x0000_s1029" type="#_x0000_t75" style="position:absolute;margin-left:141.2pt;margin-top:1.45pt;width:168.95pt;height:33pt;z-index:251661312">
            <v:imagedata r:id="rId12" o:title=""/>
          </v:shape>
          <o:OLEObject Type="Embed" ProgID="Equation.3" ShapeID="Object 5" DrawAspect="Content" ObjectID="_1510044145" r:id="rId13"/>
        </w:pict>
      </w:r>
    </w:p>
    <w:p w:rsidR="002E169D" w:rsidRDefault="002E169D" w:rsidP="00B251F2"/>
    <w:p w:rsidR="000B484C" w:rsidRDefault="00F177B6" w:rsidP="00B251F2">
      <w:r>
        <w:rPr>
          <w:noProof/>
          <w:lang w:val="nl-NL" w:eastAsia="nl-NL"/>
        </w:rPr>
        <w:pict>
          <v:shape id="Object 6" o:spid="_x0000_s1030" type="#_x0000_t75" style="position:absolute;margin-left:-1.7pt;margin-top:32.75pt;width:267pt;height:132.95pt;z-index:251662336">
            <v:imagedata r:id="rId14" o:title=""/>
          </v:shape>
          <o:OLEObject Type="Embed" ProgID="Equation.3" ShapeID="Object 6" DrawAspect="Content" ObjectID="_1510044146" r:id="rId15"/>
        </w:pict>
      </w:r>
      <w:r w:rsidR="002E169D">
        <w:t>a second order differential equat</w:t>
      </w:r>
      <w:r w:rsidR="000B484C">
        <w:t xml:space="preserve">ion in time and place. Using a central difference for the derivatives in place a system of coupled second order differential equations in time results. </w:t>
      </w:r>
    </w:p>
    <w:p w:rsidR="000B484C" w:rsidRDefault="000B484C" w:rsidP="00B251F2"/>
    <w:p w:rsidR="000B484C" w:rsidRDefault="000B484C" w:rsidP="00B251F2"/>
    <w:p w:rsidR="000B484C" w:rsidRDefault="00F177B6" w:rsidP="00B251F2">
      <w:r>
        <w:rPr>
          <w:noProof/>
          <w:lang w:val="nl-NL" w:eastAsia="nl-NL"/>
        </w:rPr>
        <w:pict>
          <v:shape id="Object 7" o:spid="_x0000_s1031" type="#_x0000_t75" style="position:absolute;margin-left:157.95pt;margin-top:24.85pt;width:4in;height:108pt;z-index:251663360">
            <v:imagedata r:id="rId16" o:title=""/>
          </v:shape>
          <o:OLEObject Type="Embed" ProgID="Equation.3" ShapeID="Object 7" DrawAspect="Content" ObjectID="_1510044147" r:id="rId17"/>
        </w:pict>
      </w:r>
    </w:p>
    <w:p w:rsidR="000B484C" w:rsidRDefault="000B484C" w:rsidP="00B251F2"/>
    <w:p w:rsidR="000B484C" w:rsidRDefault="000B484C" w:rsidP="00B251F2"/>
    <w:p w:rsidR="000B484C" w:rsidRDefault="000B484C" w:rsidP="00B251F2"/>
    <w:p w:rsidR="000B484C" w:rsidRDefault="000B484C" w:rsidP="00B251F2"/>
    <w:p w:rsidR="000B484C" w:rsidRDefault="000B484C" w:rsidP="00B251F2"/>
    <w:p w:rsidR="002E169D" w:rsidRDefault="000B484C" w:rsidP="00B251F2">
      <w:r>
        <w:t xml:space="preserve">This is solved using a </w:t>
      </w:r>
      <w:proofErr w:type="spellStart"/>
      <w:r>
        <w:t>Runge-Kutta</w:t>
      </w:r>
      <w:proofErr w:type="spellEnd"/>
      <w:r>
        <w:t xml:space="preserve"> 4 time integration method, where in each step the coupling is resolved by a Gauss elimination of the equation </w:t>
      </w:r>
      <w:proofErr w:type="spellStart"/>
      <w:r w:rsidRPr="000B484C">
        <w:rPr>
          <w:b/>
        </w:rPr>
        <w:t>Ap</w:t>
      </w:r>
      <w:proofErr w:type="spellEnd"/>
      <w:r>
        <w:t>=-</w:t>
      </w:r>
      <w:r w:rsidRPr="000B484C">
        <w:rPr>
          <w:b/>
        </w:rPr>
        <w:t>Bg</w:t>
      </w:r>
      <w:r>
        <w:t>.</w:t>
      </w:r>
    </w:p>
    <w:p w:rsidR="005E3901" w:rsidRDefault="00F177B6" w:rsidP="00B251F2">
      <w:r>
        <w:rPr>
          <w:rFonts w:ascii="CMMI10" w:hAnsi="CMMI10" w:cs="CMMI10"/>
          <w:noProof/>
          <w:sz w:val="20"/>
          <w:szCs w:val="20"/>
          <w:lang w:val="nl-NL" w:eastAsia="nl-NL"/>
        </w:rPr>
        <w:pict>
          <v:shape id="_x0000_s1032" type="#_x0000_t75" style="position:absolute;margin-left:166.2pt;margin-top:38.05pt;width:159pt;height:19pt;z-index:251664384">
            <v:imagedata r:id="rId18" o:title=""/>
          </v:shape>
          <o:OLEObject Type="Embed" ProgID="Equation.3" ShapeID="_x0000_s1032" DrawAspect="Content" ObjectID="_1510044148" r:id="rId19"/>
        </w:pict>
      </w:r>
      <w:r w:rsidR="000B484C">
        <w:t xml:space="preserve">The </w:t>
      </w:r>
      <w:proofErr w:type="spellStart"/>
      <w:r w:rsidR="000B484C">
        <w:t>Runge-Kutta</w:t>
      </w:r>
      <w:proofErr w:type="spellEnd"/>
      <w:r w:rsidR="000B484C">
        <w:t xml:space="preserve"> 4 method was chosen on the basis of its stability region. It can be shown that the stability of the RK4 </w:t>
      </w:r>
      <w:r w:rsidR="005E3901">
        <w:t>for a single oscillator is governed by:</w:t>
      </w:r>
    </w:p>
    <w:p w:rsidR="005E3901" w:rsidRDefault="005E3901" w:rsidP="00B251F2"/>
    <w:p w:rsidR="005E3901" w:rsidRDefault="005E3901" w:rsidP="00B251F2">
      <w:r>
        <w:rPr>
          <w:noProof/>
        </w:rPr>
        <w:lastRenderedPageBreak/>
        <w:drawing>
          <wp:anchor distT="0" distB="0" distL="114300" distR="114300" simplePos="0" relativeHeight="251665408" behindDoc="0" locked="0" layoutInCell="1" allowOverlap="1">
            <wp:simplePos x="0" y="0"/>
            <wp:positionH relativeFrom="column">
              <wp:align>left</wp:align>
            </wp:positionH>
            <wp:positionV relativeFrom="margin">
              <wp:posOffset>0</wp:posOffset>
            </wp:positionV>
            <wp:extent cx="2218055" cy="2065655"/>
            <wp:effectExtent l="19050" t="0" r="0" b="0"/>
            <wp:wrapSquare wrapText="bothSides"/>
            <wp:docPr id="1" name="Afbeelding 0" descr="RK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K4.jpg"/>
                    <pic:cNvPicPr/>
                  </pic:nvPicPr>
                  <pic:blipFill>
                    <a:blip r:embed="rId20" cstate="print"/>
                    <a:stretch>
                      <a:fillRect/>
                    </a:stretch>
                  </pic:blipFill>
                  <pic:spPr>
                    <a:xfrm>
                      <a:off x="0" y="0"/>
                      <a:ext cx="2218055" cy="2065655"/>
                    </a:xfrm>
                    <a:prstGeom prst="rect">
                      <a:avLst/>
                    </a:prstGeom>
                  </pic:spPr>
                </pic:pic>
              </a:graphicData>
            </a:graphic>
          </wp:anchor>
        </w:drawing>
      </w:r>
      <w:r>
        <w:t>This function is shown here. It can be seen that a substantial portion of the imaginary axis falls within the stable region. This is important since the object of the implementation was to study limit cycle oscillations for very small and even negative values of the damping d.</w:t>
      </w:r>
    </w:p>
    <w:p w:rsidR="00FF3554" w:rsidRDefault="00FF3554" w:rsidP="00FF3554">
      <w:pPr>
        <w:pStyle w:val="Heading3"/>
        <w:shd w:val="clear" w:color="auto" w:fill="C6D9F1" w:themeFill="text2" w:themeFillTint="33"/>
      </w:pPr>
      <w:r>
        <w:t>project</w:t>
      </w:r>
      <w:r>
        <w:t xml:space="preserve"> part 1</w:t>
      </w:r>
      <w:r>
        <w:t>:</w:t>
      </w:r>
    </w:p>
    <w:p w:rsidR="005E3901" w:rsidRDefault="00AF63B4" w:rsidP="00FF3554">
      <w:pPr>
        <w:shd w:val="clear" w:color="auto" w:fill="C6D9F1" w:themeFill="text2" w:themeFillTint="33"/>
      </w:pPr>
      <w:r>
        <w:t xml:space="preserve">For this model a stability analysis was carried out by Kimberley Lindenberg (see Kimberley’s report), showing the RK4 time integration method to be more stable than a Modified </w:t>
      </w:r>
      <w:proofErr w:type="spellStart"/>
      <w:r>
        <w:t>Sielecki</w:t>
      </w:r>
      <w:proofErr w:type="spellEnd"/>
      <w:r>
        <w:t xml:space="preserve"> method. However, contrary to what was suggested in the literature, the increased stability did not warrant the larger computational effort required for RK4.</w:t>
      </w:r>
    </w:p>
    <w:p w:rsidR="00FF3554" w:rsidRDefault="00FF3554" w:rsidP="00B251F2"/>
    <w:p w:rsidR="005E3901" w:rsidRDefault="00F177B6" w:rsidP="00B251F2">
      <w:r>
        <w:rPr>
          <w:noProof/>
          <w:lang w:val="nl-NL" w:eastAsia="nl-NL"/>
        </w:rPr>
        <w:pict>
          <v:shape id="_x0000_s1033" type="#_x0000_t75" style="position:absolute;margin-left:134.35pt;margin-top:42.95pt;width:128pt;height:19pt;z-index:251666432">
            <v:imagedata r:id="rId21" o:title=""/>
          </v:shape>
          <o:OLEObject Type="Embed" ProgID="Equation.3" ShapeID="_x0000_s1033" DrawAspect="Content" ObjectID="_1510044149" r:id="rId22"/>
        </w:pict>
      </w:r>
      <w:r w:rsidR="005E3901">
        <w:t>By t</w:t>
      </w:r>
      <w:r w:rsidR="00AC03ED">
        <w:t>he end of the 1990s an important alteration</w:t>
      </w:r>
      <w:r w:rsidR="005E3901">
        <w:t xml:space="preserve"> was made to the equation of motion of the individual oscillators. </w:t>
      </w:r>
      <w:r w:rsidR="00AC03ED">
        <w:t>Analysis of measurements of the excitation inside the real inner and inverse modeling led to the equation:</w:t>
      </w:r>
    </w:p>
    <w:p w:rsidR="00AC03ED" w:rsidRDefault="00AC03ED" w:rsidP="00B251F2"/>
    <w:p w:rsidR="005E3901" w:rsidRDefault="00AC03ED" w:rsidP="00B251F2">
      <w:r>
        <w:t xml:space="preserve">where the damping d has a negative value and the term </w:t>
      </w:r>
      <w:proofErr w:type="spellStart"/>
      <w:r w:rsidRPr="00AC03ED">
        <w:rPr>
          <w:i/>
        </w:rPr>
        <w:t>s’ζ</w:t>
      </w:r>
      <w:r w:rsidRPr="00AC03ED">
        <w:rPr>
          <w:i/>
          <w:vertAlign w:val="subscript"/>
        </w:rPr>
        <w:t>t</w:t>
      </w:r>
      <w:proofErr w:type="spellEnd"/>
      <w:r w:rsidRPr="00AC03ED">
        <w:rPr>
          <w:i/>
          <w:vertAlign w:val="subscript"/>
        </w:rPr>
        <w:t>-τ</w:t>
      </w:r>
      <w:r>
        <w:t xml:space="preserve"> is a delayed feedback stiffness which serves to stabilize the otherwise unstable system of equations. Attempts to implement this function in the numerical model led to sever</w:t>
      </w:r>
      <w:r w:rsidR="000F1E2F">
        <w:t>e</w:t>
      </w:r>
      <w:r>
        <w:t xml:space="preserve"> stability issues and a preliminary stability analysis </w:t>
      </w:r>
      <w:r w:rsidR="00ED70B1">
        <w:t xml:space="preserve">(see attached document on Impedance) </w:t>
      </w:r>
      <w:r>
        <w:t>led to the conclusion that each individual oscillator in a model with this equation of motion is unstable, but linking it to neighboring oscillators provides stability. Therefore all oscillators in the model are stabilized except the ones at the ends, which have no neighbors. A simple adaptation at both ends solved the stability problem.</w:t>
      </w:r>
    </w:p>
    <w:p w:rsidR="00AC03ED" w:rsidRDefault="00AC03ED" w:rsidP="00B251F2">
      <w:r>
        <w:t>The model with the negative damping and feedback stiffness has since been used effectively to model various physiological and psychophysical data. Plans are developed to use this model in an extensive study of the effects of damage to oscillators in the inner ear</w:t>
      </w:r>
      <w:r w:rsidR="0067390F">
        <w:t>. This brings up several questions:</w:t>
      </w:r>
    </w:p>
    <w:p w:rsidR="0067390F" w:rsidRDefault="0067390F" w:rsidP="00B251F2">
      <w:r>
        <w:t>- if neighboring sections have altered mechanics, when do they stop having their stabilizing influence?</w:t>
      </w:r>
    </w:p>
    <w:p w:rsidR="0067390F" w:rsidRDefault="0067390F" w:rsidP="00B251F2">
      <w:r>
        <w:t>- what are the most eff</w:t>
      </w:r>
      <w:r w:rsidR="00AF63B4">
        <w:t>icient choices for the discretiz</w:t>
      </w:r>
      <w:r>
        <w:t>ation (in both x and t) which still lead to a stable (numerical) model?</w:t>
      </w:r>
    </w:p>
    <w:p w:rsidR="00182A50" w:rsidRDefault="00EF49C9" w:rsidP="00B251F2">
      <w:r>
        <w:t>The introduction of the delayed feedback stiffness makes the differential equation into a so-called Delayed Differential Equation (DDE), of the form:</w:t>
      </w:r>
    </w:p>
    <w:p w:rsidR="00EF49C9" w:rsidRPr="001C7D67" w:rsidRDefault="00F177B6" w:rsidP="00B251F2">
      <m:oMathPara>
        <m:oMath>
          <m:sSup>
            <m:sSupPr>
              <m:ctrlPr>
                <w:rPr>
                  <w:rFonts w:ascii="Cambria Math" w:hAnsi="Cambria Math"/>
                  <w:i/>
                </w:rPr>
              </m:ctrlPr>
            </m:sSupPr>
            <m:e>
              <m:r>
                <w:rPr>
                  <w:rFonts w:ascii="Cambria Math" w:hAnsi="Cambria Math"/>
                </w:rPr>
                <m:t>U</m:t>
              </m:r>
            </m:e>
            <m:sup>
              <m:r>
                <w:rPr>
                  <w:rFonts w:ascii="Cambria Math" w:hAnsi="Cambria Math"/>
                </w:rPr>
                <m:t>'</m:t>
              </m:r>
            </m:sup>
          </m:sSup>
          <m:d>
            <m:dPr>
              <m:ctrlPr>
                <w:rPr>
                  <w:rFonts w:ascii="Cambria Math" w:hAnsi="Cambria Math"/>
                  <w:i/>
                </w:rPr>
              </m:ctrlPr>
            </m:dPr>
            <m:e>
              <m:r>
                <w:rPr>
                  <w:rFonts w:ascii="Cambria Math" w:hAnsi="Cambria Math"/>
                </w:rPr>
                <m:t>t</m:t>
              </m:r>
            </m:e>
          </m:d>
          <m:r>
            <w:rPr>
              <w:rFonts w:ascii="Cambria Math" w:hAnsi="Cambria Math"/>
            </w:rPr>
            <m:t>=f</m:t>
          </m:r>
          <m:d>
            <m:dPr>
              <m:ctrlPr>
                <w:rPr>
                  <w:rFonts w:ascii="Cambria Math" w:hAnsi="Cambria Math"/>
                  <w:i/>
                </w:rPr>
              </m:ctrlPr>
            </m:dPr>
            <m:e>
              <m:r>
                <w:rPr>
                  <w:rFonts w:ascii="Cambria Math" w:hAnsi="Cambria Math"/>
                </w:rPr>
                <m:t>t,U</m:t>
              </m:r>
              <m:d>
                <m:dPr>
                  <m:ctrlPr>
                    <w:rPr>
                      <w:rFonts w:ascii="Cambria Math" w:hAnsi="Cambria Math"/>
                      <w:i/>
                    </w:rPr>
                  </m:ctrlPr>
                </m:dPr>
                <m:e>
                  <m:r>
                    <w:rPr>
                      <w:rFonts w:ascii="Cambria Math" w:hAnsi="Cambria Math"/>
                    </w:rPr>
                    <m:t>t</m:t>
                  </m:r>
                </m:e>
              </m:d>
              <m:r>
                <w:rPr>
                  <w:rFonts w:ascii="Cambria Math" w:hAnsi="Cambria Math"/>
                </w:rPr>
                <m:t>,U</m:t>
              </m:r>
              <m:d>
                <m:dPr>
                  <m:ctrlPr>
                    <w:rPr>
                      <w:rFonts w:ascii="Cambria Math" w:hAnsi="Cambria Math"/>
                      <w:i/>
                    </w:rPr>
                  </m:ctrlPr>
                </m:dPr>
                <m:e>
                  <m:r>
                    <w:rPr>
                      <w:rFonts w:ascii="Cambria Math" w:hAnsi="Cambria Math"/>
                    </w:rPr>
                    <m:t>t-</m:t>
                  </m:r>
                  <m:sSub>
                    <m:sSubPr>
                      <m:ctrlPr>
                        <w:rPr>
                          <w:rFonts w:ascii="Cambria Math" w:hAnsi="Cambria Math"/>
                          <w:i/>
                        </w:rPr>
                      </m:ctrlPr>
                    </m:sSubPr>
                    <m:e>
                      <m:r>
                        <w:rPr>
                          <w:rFonts w:ascii="Cambria Math" w:hAnsi="Cambria Math"/>
                        </w:rPr>
                        <m:t>τ</m:t>
                      </m:r>
                    </m:e>
                    <m:sub>
                      <m:r>
                        <w:rPr>
                          <w:rFonts w:ascii="Cambria Math" w:hAnsi="Cambria Math"/>
                        </w:rPr>
                        <m:t>1</m:t>
                      </m:r>
                    </m:sub>
                  </m:sSub>
                </m:e>
              </m:d>
              <m:r>
                <w:rPr>
                  <w:rFonts w:ascii="Cambria Math" w:hAnsi="Cambria Math"/>
                </w:rPr>
                <m:t>,U</m:t>
              </m:r>
              <m:d>
                <m:dPr>
                  <m:ctrlPr>
                    <w:rPr>
                      <w:rFonts w:ascii="Cambria Math" w:hAnsi="Cambria Math"/>
                      <w:i/>
                    </w:rPr>
                  </m:ctrlPr>
                </m:dPr>
                <m:e>
                  <m:r>
                    <w:rPr>
                      <w:rFonts w:ascii="Cambria Math" w:hAnsi="Cambria Math"/>
                    </w:rPr>
                    <m:t>t-</m:t>
                  </m:r>
                  <m:sSub>
                    <m:sSubPr>
                      <m:ctrlPr>
                        <w:rPr>
                          <w:rFonts w:ascii="Cambria Math" w:hAnsi="Cambria Math"/>
                          <w:i/>
                        </w:rPr>
                      </m:ctrlPr>
                    </m:sSubPr>
                    <m:e>
                      <m:r>
                        <w:rPr>
                          <w:rFonts w:ascii="Cambria Math" w:hAnsi="Cambria Math"/>
                        </w:rPr>
                        <m:t>τ</m:t>
                      </m:r>
                    </m:e>
                    <m:sub>
                      <m:r>
                        <w:rPr>
                          <w:rFonts w:ascii="Cambria Math" w:hAnsi="Cambria Math"/>
                        </w:rPr>
                        <m:t>2</m:t>
                      </m:r>
                    </m:sub>
                  </m:sSub>
                </m:e>
              </m:d>
            </m:e>
          </m:d>
          <m:r>
            <w:rPr>
              <w:rFonts w:ascii="Cambria Math" w:hAnsi="Cambria Math"/>
            </w:rPr>
            <m:t xml:space="preserve">    t≥0</m:t>
          </m:r>
          <m:r>
            <w:rPr>
              <w:rStyle w:val="FootnoteReference"/>
              <w:rFonts w:ascii="Cambria Math" w:hAnsi="Cambria Math"/>
              <w:i/>
            </w:rPr>
            <w:footnoteReference w:id="1"/>
          </m:r>
        </m:oMath>
      </m:oMathPara>
    </w:p>
    <w:p w:rsidR="001C7D67" w:rsidRPr="00BF095A" w:rsidRDefault="001C7D67" w:rsidP="00B251F2">
      <m:oMathPara>
        <m:oMath>
          <m:r>
            <w:rPr>
              <w:rFonts w:ascii="Cambria Math" w:hAnsi="Cambria Math"/>
            </w:rPr>
            <w:lastRenderedPageBreak/>
            <m:t>U</m:t>
          </m:r>
          <m:d>
            <m:dPr>
              <m:ctrlPr>
                <w:rPr>
                  <w:rFonts w:ascii="Cambria Math" w:hAnsi="Cambria Math"/>
                  <w:i/>
                </w:rPr>
              </m:ctrlPr>
            </m:dPr>
            <m:e>
              <m:r>
                <w:rPr>
                  <w:rFonts w:ascii="Cambria Math" w:hAnsi="Cambria Math"/>
                </w:rPr>
                <m:t>t</m:t>
              </m:r>
            </m:e>
          </m:d>
          <m:r>
            <w:rPr>
              <w:rFonts w:ascii="Cambria Math" w:hAnsi="Cambria Math"/>
            </w:rPr>
            <m:t>=0                                                               t≤0</m:t>
          </m:r>
        </m:oMath>
      </m:oMathPara>
    </w:p>
    <w:p w:rsidR="00FF3554" w:rsidRDefault="00FF3554" w:rsidP="00FF3554">
      <w:pPr>
        <w:pStyle w:val="Heading3"/>
        <w:shd w:val="clear" w:color="auto" w:fill="C6D9F1" w:themeFill="text2" w:themeFillTint="33"/>
      </w:pPr>
      <w:r>
        <w:t>project part 2:</w:t>
      </w:r>
    </w:p>
    <w:p w:rsidR="00BF095A" w:rsidRDefault="00BF095A" w:rsidP="00FF3554">
      <w:pPr>
        <w:shd w:val="clear" w:color="auto" w:fill="C6D9F1" w:themeFill="text2" w:themeFillTint="33"/>
      </w:pPr>
      <w:r>
        <w:t xml:space="preserve">Stability analysis of DDEs is considerably more complex than for ODEs (ordinary differential equations). Initial steps for a stability analysis of DDEs were made in the work of Melissa Wijchers, using the method of steps. </w:t>
      </w:r>
    </w:p>
    <w:p w:rsidR="00BF095A" w:rsidRDefault="00BF095A" w:rsidP="00BF095A">
      <w:pPr>
        <w:pStyle w:val="Heading2"/>
        <w:rPr>
          <w:rFonts w:eastAsiaTheme="minorEastAsia"/>
        </w:rPr>
      </w:pPr>
      <w:r>
        <w:rPr>
          <w:rFonts w:eastAsiaTheme="minorEastAsia"/>
        </w:rPr>
        <w:t>This project</w:t>
      </w:r>
    </w:p>
    <w:p w:rsidR="00BF095A" w:rsidRDefault="00BF095A" w:rsidP="00BF095A">
      <w:r>
        <w:t xml:space="preserve">The goal of the current proposal is to use the method of steps, as described in the work of Melissa Wijchers, in combination with the work of Kimberley Lindenberg on the original ODE system, to develop a stability analysis for the new system with DDEs. Both an analysis of the </w:t>
      </w:r>
      <w:r w:rsidR="00B21C42">
        <w:t xml:space="preserve">‘analytical’  stability of the system of DDEs and an analysis of the stability of the discretized system will be required. </w:t>
      </w:r>
    </w:p>
    <w:p w:rsidR="00B21C42" w:rsidRPr="00BF095A" w:rsidRDefault="00B21C42" w:rsidP="00BF095A">
      <w:r>
        <w:t xml:space="preserve">Using these methods we can establish for which parameter choices a stable solution is possible, and which discretization is required in place and time to achieve a stable numerical method to approximate this solution. </w:t>
      </w:r>
    </w:p>
    <w:p w:rsidR="001C7D67" w:rsidRPr="001C7D67" w:rsidRDefault="001C7D67" w:rsidP="00B251F2">
      <w:bookmarkStart w:id="0" w:name="_GoBack"/>
      <w:bookmarkEnd w:id="0"/>
    </w:p>
    <w:sectPr w:rsidR="001C7D67" w:rsidRPr="001C7D67" w:rsidSect="006101D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7B6" w:rsidRDefault="00F177B6" w:rsidP="00BF095A">
      <w:pPr>
        <w:spacing w:after="0" w:line="240" w:lineRule="auto"/>
      </w:pPr>
      <w:r>
        <w:separator/>
      </w:r>
    </w:p>
  </w:endnote>
  <w:endnote w:type="continuationSeparator" w:id="0">
    <w:p w:rsidR="00F177B6" w:rsidRDefault="00F177B6" w:rsidP="00BF0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MMI10">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7B6" w:rsidRDefault="00F177B6" w:rsidP="00BF095A">
      <w:pPr>
        <w:spacing w:after="0" w:line="240" w:lineRule="auto"/>
      </w:pPr>
      <w:r>
        <w:separator/>
      </w:r>
    </w:p>
  </w:footnote>
  <w:footnote w:type="continuationSeparator" w:id="0">
    <w:p w:rsidR="00F177B6" w:rsidRDefault="00F177B6" w:rsidP="00BF095A">
      <w:pPr>
        <w:spacing w:after="0" w:line="240" w:lineRule="auto"/>
      </w:pPr>
      <w:r>
        <w:continuationSeparator/>
      </w:r>
    </w:p>
  </w:footnote>
  <w:footnote w:id="1">
    <w:p w:rsidR="00BF095A" w:rsidRDefault="00BF095A">
      <w:pPr>
        <w:pStyle w:val="FootnoteText"/>
      </w:pPr>
      <w:r>
        <w:rPr>
          <w:rStyle w:val="FootnoteReference"/>
        </w:rPr>
        <w:footnoteRef/>
      </w:r>
      <w:r>
        <w:t xml:space="preserve"> Since the delay τ in the equation of motion will generally not be exactly equal to </w:t>
      </w:r>
      <w:proofErr w:type="spellStart"/>
      <w:r>
        <w:t>n.Δt</w:t>
      </w:r>
      <w:proofErr w:type="spellEnd"/>
      <w:r>
        <w:t xml:space="preserve"> - where </w:t>
      </w:r>
      <w:proofErr w:type="spellStart"/>
      <w:r>
        <w:t>Δt</w:t>
      </w:r>
      <w:proofErr w:type="spellEnd"/>
      <w:r>
        <w:t xml:space="preserve"> is the time step - an interpolation is used between two time steps. This leads two delay terms in the DDE.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doNotDisplayPageBoundaries/>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1F2"/>
    <w:rsid w:val="00023547"/>
    <w:rsid w:val="000B484C"/>
    <w:rsid w:val="000B6692"/>
    <w:rsid w:val="000D1799"/>
    <w:rsid w:val="000F1E2F"/>
    <w:rsid w:val="00182A50"/>
    <w:rsid w:val="001B3554"/>
    <w:rsid w:val="001C7D67"/>
    <w:rsid w:val="00255C31"/>
    <w:rsid w:val="002E169D"/>
    <w:rsid w:val="003A16CC"/>
    <w:rsid w:val="00550018"/>
    <w:rsid w:val="005E3901"/>
    <w:rsid w:val="006101D1"/>
    <w:rsid w:val="0067390F"/>
    <w:rsid w:val="0095337B"/>
    <w:rsid w:val="009F2380"/>
    <w:rsid w:val="00AC03ED"/>
    <w:rsid w:val="00AE5CA6"/>
    <w:rsid w:val="00AF3C32"/>
    <w:rsid w:val="00AF63B4"/>
    <w:rsid w:val="00B21C42"/>
    <w:rsid w:val="00B251F2"/>
    <w:rsid w:val="00BF095A"/>
    <w:rsid w:val="00C04BC8"/>
    <w:rsid w:val="00C112A1"/>
    <w:rsid w:val="00D014A1"/>
    <w:rsid w:val="00D341C9"/>
    <w:rsid w:val="00DA2D20"/>
    <w:rsid w:val="00EA1D55"/>
    <w:rsid w:val="00ED70B1"/>
    <w:rsid w:val="00EF49C9"/>
    <w:rsid w:val="00F177B6"/>
    <w:rsid w:val="00F26A23"/>
    <w:rsid w:val="00FB5238"/>
    <w:rsid w:val="00FF35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251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112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F63B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1F2"/>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B251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251F2"/>
    <w:rPr>
      <w:rFonts w:asciiTheme="majorHAnsi" w:eastAsiaTheme="majorEastAsia" w:hAnsiTheme="majorHAnsi" w:cstheme="majorBidi"/>
      <w:i/>
      <w:iCs/>
      <w:color w:val="4F81BD" w:themeColor="accent1"/>
      <w:spacing w:val="15"/>
      <w:sz w:val="24"/>
      <w:szCs w:val="24"/>
    </w:rPr>
  </w:style>
  <w:style w:type="character" w:styleId="PlaceholderText">
    <w:name w:val="Placeholder Text"/>
    <w:basedOn w:val="DefaultParagraphFont"/>
    <w:uiPriority w:val="99"/>
    <w:semiHidden/>
    <w:rsid w:val="00B251F2"/>
    <w:rPr>
      <w:color w:val="808080"/>
    </w:rPr>
  </w:style>
  <w:style w:type="paragraph" w:styleId="BalloonText">
    <w:name w:val="Balloon Text"/>
    <w:basedOn w:val="Normal"/>
    <w:link w:val="BalloonTextChar"/>
    <w:uiPriority w:val="99"/>
    <w:semiHidden/>
    <w:unhideWhenUsed/>
    <w:rsid w:val="00B251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1F2"/>
    <w:rPr>
      <w:rFonts w:ascii="Tahoma" w:hAnsi="Tahoma" w:cs="Tahoma"/>
      <w:sz w:val="16"/>
      <w:szCs w:val="16"/>
    </w:rPr>
  </w:style>
  <w:style w:type="character" w:styleId="Hyperlink">
    <w:name w:val="Hyperlink"/>
    <w:basedOn w:val="DefaultParagraphFont"/>
    <w:uiPriority w:val="99"/>
    <w:unhideWhenUsed/>
    <w:rsid w:val="0067390F"/>
    <w:rPr>
      <w:color w:val="0000FF" w:themeColor="hyperlink"/>
      <w:u w:val="single"/>
    </w:rPr>
  </w:style>
  <w:style w:type="character" w:customStyle="1" w:styleId="Heading2Char">
    <w:name w:val="Heading 2 Char"/>
    <w:basedOn w:val="DefaultParagraphFont"/>
    <w:link w:val="Heading2"/>
    <w:uiPriority w:val="9"/>
    <w:rsid w:val="00C112A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F63B4"/>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semiHidden/>
    <w:unhideWhenUsed/>
    <w:rsid w:val="00BF09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095A"/>
    <w:rPr>
      <w:sz w:val="20"/>
      <w:szCs w:val="20"/>
    </w:rPr>
  </w:style>
  <w:style w:type="character" w:styleId="FootnoteReference">
    <w:name w:val="footnote reference"/>
    <w:basedOn w:val="DefaultParagraphFont"/>
    <w:uiPriority w:val="99"/>
    <w:semiHidden/>
    <w:unhideWhenUsed/>
    <w:rsid w:val="00BF095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251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112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F63B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1F2"/>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B251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251F2"/>
    <w:rPr>
      <w:rFonts w:asciiTheme="majorHAnsi" w:eastAsiaTheme="majorEastAsia" w:hAnsiTheme="majorHAnsi" w:cstheme="majorBidi"/>
      <w:i/>
      <w:iCs/>
      <w:color w:val="4F81BD" w:themeColor="accent1"/>
      <w:spacing w:val="15"/>
      <w:sz w:val="24"/>
      <w:szCs w:val="24"/>
    </w:rPr>
  </w:style>
  <w:style w:type="character" w:styleId="PlaceholderText">
    <w:name w:val="Placeholder Text"/>
    <w:basedOn w:val="DefaultParagraphFont"/>
    <w:uiPriority w:val="99"/>
    <w:semiHidden/>
    <w:rsid w:val="00B251F2"/>
    <w:rPr>
      <w:color w:val="808080"/>
    </w:rPr>
  </w:style>
  <w:style w:type="paragraph" w:styleId="BalloonText">
    <w:name w:val="Balloon Text"/>
    <w:basedOn w:val="Normal"/>
    <w:link w:val="BalloonTextChar"/>
    <w:uiPriority w:val="99"/>
    <w:semiHidden/>
    <w:unhideWhenUsed/>
    <w:rsid w:val="00B251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1F2"/>
    <w:rPr>
      <w:rFonts w:ascii="Tahoma" w:hAnsi="Tahoma" w:cs="Tahoma"/>
      <w:sz w:val="16"/>
      <w:szCs w:val="16"/>
    </w:rPr>
  </w:style>
  <w:style w:type="character" w:styleId="Hyperlink">
    <w:name w:val="Hyperlink"/>
    <w:basedOn w:val="DefaultParagraphFont"/>
    <w:uiPriority w:val="99"/>
    <w:unhideWhenUsed/>
    <w:rsid w:val="0067390F"/>
    <w:rPr>
      <w:color w:val="0000FF" w:themeColor="hyperlink"/>
      <w:u w:val="single"/>
    </w:rPr>
  </w:style>
  <w:style w:type="character" w:customStyle="1" w:styleId="Heading2Char">
    <w:name w:val="Heading 2 Char"/>
    <w:basedOn w:val="DefaultParagraphFont"/>
    <w:link w:val="Heading2"/>
    <w:uiPriority w:val="9"/>
    <w:rsid w:val="00C112A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F63B4"/>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semiHidden/>
    <w:unhideWhenUsed/>
    <w:rsid w:val="00BF09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095A"/>
    <w:rPr>
      <w:sz w:val="20"/>
      <w:szCs w:val="20"/>
    </w:rPr>
  </w:style>
  <w:style w:type="character" w:styleId="FootnoteReference">
    <w:name w:val="footnote reference"/>
    <w:basedOn w:val="DefaultParagraphFont"/>
    <w:uiPriority w:val="99"/>
    <w:semiHidden/>
    <w:unhideWhenUsed/>
    <w:rsid w:val="00BF09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3" Type="http://schemas.microsoft.com/office/2007/relationships/stylesWithEffects" Target="stylesWithEffect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2343B-F976-4891-BCB5-2F2ADF10A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697</Words>
  <Characters>3979</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Peter van Hengel</cp:lastModifiedBy>
  <cp:revision>4</cp:revision>
  <dcterms:created xsi:type="dcterms:W3CDTF">2014-04-09T14:49:00Z</dcterms:created>
  <dcterms:modified xsi:type="dcterms:W3CDTF">2015-11-26T10:56:00Z</dcterms:modified>
</cp:coreProperties>
</file>