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C5C" w14:textId="5EC907FE" w:rsidR="00C41F02" w:rsidRPr="006949F5" w:rsidRDefault="00C41F02" w:rsidP="00C41F02">
      <w:pPr>
        <w:spacing w:line="240" w:lineRule="auto"/>
        <w:rPr>
          <w:rFonts w:asciiTheme="minorHAnsi" w:hAnsiTheme="minorHAnsi" w:cstheme="minorHAnsi"/>
          <w:b/>
          <w:bCs/>
          <w:sz w:val="36"/>
          <w:szCs w:val="36"/>
        </w:rPr>
      </w:pPr>
      <w:r w:rsidRPr="006949F5">
        <w:rPr>
          <w:rFonts w:asciiTheme="minorHAnsi" w:hAnsiTheme="minorHAnsi" w:cstheme="minorHAnsi"/>
          <w:b/>
          <w:bCs/>
          <w:sz w:val="36"/>
          <w:szCs w:val="36"/>
        </w:rPr>
        <w:t>Computational Challenges in Risk Calculations for XVA (JL/SB)</w:t>
      </w:r>
    </w:p>
    <w:p w14:paraId="0AED05E6" w14:textId="77777777" w:rsidR="00C41F02" w:rsidRPr="006949F5" w:rsidRDefault="00C41F02" w:rsidP="00C41F02">
      <w:pPr>
        <w:rPr>
          <w:rFonts w:asciiTheme="minorHAnsi" w:hAnsiTheme="minorHAnsi" w:cstheme="minorHAnsi"/>
          <w:b/>
          <w:color w:val="FF0000"/>
          <w:sz w:val="24"/>
        </w:rPr>
      </w:pPr>
    </w:p>
    <w:p w14:paraId="4207FF2D" w14:textId="77777777" w:rsidR="00C41F02" w:rsidRPr="006949F5" w:rsidRDefault="00C41F02" w:rsidP="00C41F02">
      <w:pPr>
        <w:spacing w:line="240" w:lineRule="auto"/>
        <w:jc w:val="both"/>
        <w:rPr>
          <w:rFonts w:asciiTheme="minorHAnsi" w:hAnsiTheme="minorHAnsi" w:cstheme="minorHAnsi"/>
          <w:b/>
          <w:szCs w:val="22"/>
        </w:rPr>
      </w:pPr>
      <w:r w:rsidRPr="006949F5">
        <w:rPr>
          <w:rFonts w:asciiTheme="minorHAnsi" w:hAnsiTheme="minorHAnsi" w:cstheme="minorHAnsi"/>
          <w:b/>
          <w:szCs w:val="22"/>
        </w:rPr>
        <w:t>Description</w:t>
      </w:r>
    </w:p>
    <w:p w14:paraId="47D54B25" w14:textId="77777777" w:rsidR="00C41F02" w:rsidRPr="006949F5" w:rsidRDefault="00C41F02" w:rsidP="001042BC">
      <w:pPr>
        <w:jc w:val="both"/>
        <w:rPr>
          <w:rFonts w:asciiTheme="minorHAnsi" w:hAnsiTheme="minorHAnsi" w:cstheme="minorHAnsi"/>
          <w:szCs w:val="22"/>
        </w:rPr>
      </w:pPr>
      <w:r w:rsidRPr="006949F5">
        <w:rPr>
          <w:rFonts w:asciiTheme="minorHAnsi" w:hAnsiTheme="minorHAnsi" w:cstheme="minorHAnsi"/>
          <w:szCs w:val="22"/>
        </w:rPr>
        <w:t>Pricing of over-the-counter (OTC) derivatives has historically relied on the Black-Scholes’ risk neutral pricing framework, under the assumption of funding at the risk-free rate and the ability to perfectly replicate and hedge derivatives. This assumption however doesn’t hold anymore post financial crisis of 2008 and therefore the bank has to adjust the risk-neutral value to take into account all associated risk like counterparty credit risk when valuing OTC derivatives.</w:t>
      </w:r>
    </w:p>
    <w:p w14:paraId="5CB0B690" w14:textId="77777777" w:rsidR="00C41F02" w:rsidRPr="006949F5" w:rsidRDefault="00C41F02" w:rsidP="00C41F02">
      <w:pPr>
        <w:rPr>
          <w:rFonts w:asciiTheme="minorHAnsi" w:hAnsiTheme="minorHAnsi" w:cstheme="minorHAnsi"/>
          <w:szCs w:val="22"/>
        </w:rPr>
      </w:pPr>
    </w:p>
    <w:p w14:paraId="02589047" w14:textId="0E50D6E4" w:rsidR="00C41F02" w:rsidRPr="006949F5" w:rsidRDefault="00C41F02" w:rsidP="001042BC">
      <w:pPr>
        <w:jc w:val="both"/>
        <w:rPr>
          <w:rFonts w:asciiTheme="minorHAnsi" w:hAnsiTheme="minorHAnsi" w:cstheme="minorBidi"/>
        </w:rPr>
      </w:pPr>
      <w:r w:rsidRPr="16AED5D4">
        <w:rPr>
          <w:rFonts w:asciiTheme="minorHAnsi" w:hAnsiTheme="minorHAnsi" w:cstheme="minorBidi"/>
        </w:rPr>
        <w:t xml:space="preserve">X-Value Adjustment (XVA) is the generic term </w:t>
      </w:r>
      <w:r w:rsidRPr="16AED5D4">
        <w:rPr>
          <w:rFonts w:asciiTheme="minorHAnsi" w:hAnsiTheme="minorHAnsi" w:cstheme="minorBidi"/>
          <w:lang w:val="en"/>
        </w:rPr>
        <w:t>referring collectively to a number of different adjustments made to the risk-neutral value of the derivatives contract held by the bank to take into account funding, credit risk and regulatory capital costs.</w:t>
      </w:r>
    </w:p>
    <w:p w14:paraId="1AA39EBB" w14:textId="77777777" w:rsidR="00C41F02" w:rsidRPr="006949F5" w:rsidRDefault="00C41F02" w:rsidP="00C41F02">
      <w:pPr>
        <w:rPr>
          <w:rFonts w:asciiTheme="minorHAnsi" w:hAnsiTheme="minorHAnsi" w:cstheme="minorHAnsi"/>
          <w:szCs w:val="22"/>
        </w:rPr>
      </w:pPr>
    </w:p>
    <w:p w14:paraId="120D227D" w14:textId="6DF55572" w:rsidR="00C41F02" w:rsidRPr="006949F5" w:rsidRDefault="00C41F02" w:rsidP="16AED5D4">
      <w:pPr>
        <w:rPr>
          <w:rFonts w:asciiTheme="minorHAnsi" w:hAnsiTheme="minorHAnsi" w:cstheme="minorBidi"/>
          <w:lang w:val="en"/>
        </w:rPr>
      </w:pPr>
      <w:r w:rsidRPr="16AED5D4">
        <w:rPr>
          <w:rFonts w:asciiTheme="minorHAnsi" w:hAnsiTheme="minorHAnsi" w:cstheme="minorBidi"/>
          <w:lang w:val="en"/>
        </w:rPr>
        <w:t>The purpose of XVA is twofold:</w:t>
      </w:r>
    </w:p>
    <w:p w14:paraId="1CF0C285" w14:textId="77777777" w:rsidR="00C41F02" w:rsidRPr="006949F5" w:rsidRDefault="00C41F02" w:rsidP="00C41F02">
      <w:pPr>
        <w:pStyle w:val="ListParagraph"/>
        <w:numPr>
          <w:ilvl w:val="0"/>
          <w:numId w:val="7"/>
        </w:numPr>
        <w:rPr>
          <w:rFonts w:asciiTheme="minorHAnsi" w:hAnsiTheme="minorHAnsi" w:cstheme="minorHAnsi"/>
          <w:szCs w:val="22"/>
          <w:lang w:val="en"/>
        </w:rPr>
      </w:pPr>
      <w:r w:rsidRPr="006949F5">
        <w:rPr>
          <w:rFonts w:asciiTheme="minorHAnsi" w:hAnsiTheme="minorHAnsi" w:cstheme="minorHAnsi"/>
          <w:szCs w:val="22"/>
          <w:lang w:val="en"/>
        </w:rPr>
        <w:t xml:space="preserve">To hedge for possible losses due to counterparty default; </w:t>
      </w:r>
    </w:p>
    <w:p w14:paraId="5B632921" w14:textId="77777777" w:rsidR="00C41F02" w:rsidRPr="006949F5" w:rsidRDefault="00C41F02" w:rsidP="00C41F02">
      <w:pPr>
        <w:pStyle w:val="ListParagraph"/>
        <w:numPr>
          <w:ilvl w:val="0"/>
          <w:numId w:val="7"/>
        </w:numPr>
        <w:rPr>
          <w:rFonts w:asciiTheme="minorHAnsi" w:hAnsiTheme="minorHAnsi" w:cstheme="minorHAnsi"/>
          <w:szCs w:val="22"/>
          <w:lang w:val="en"/>
        </w:rPr>
      </w:pPr>
      <w:r w:rsidRPr="006949F5">
        <w:rPr>
          <w:rFonts w:asciiTheme="minorHAnsi" w:hAnsiTheme="minorHAnsi" w:cstheme="minorHAnsi"/>
          <w:szCs w:val="22"/>
          <w:lang w:val="en"/>
        </w:rPr>
        <w:t>Determine (and hedge) the amount of capital required under Basel III.</w:t>
      </w:r>
    </w:p>
    <w:p w14:paraId="062DB567" w14:textId="77777777" w:rsidR="00C41F02" w:rsidRPr="006949F5" w:rsidRDefault="00C41F02" w:rsidP="00C41F02">
      <w:pPr>
        <w:rPr>
          <w:rFonts w:asciiTheme="minorHAnsi" w:hAnsiTheme="minorHAnsi" w:cstheme="minorHAnsi"/>
          <w:szCs w:val="22"/>
        </w:rPr>
      </w:pPr>
    </w:p>
    <w:p w14:paraId="2294DECD" w14:textId="50B3C074" w:rsidR="00C41F02" w:rsidRPr="006949F5" w:rsidRDefault="00C41F02" w:rsidP="16AED5D4">
      <w:pPr>
        <w:rPr>
          <w:rFonts w:asciiTheme="minorHAnsi" w:hAnsiTheme="minorHAnsi" w:cstheme="minorBidi"/>
        </w:rPr>
      </w:pPr>
      <w:r w:rsidRPr="16AED5D4">
        <w:rPr>
          <w:rFonts w:asciiTheme="minorHAnsi" w:hAnsiTheme="minorHAnsi" w:cstheme="minorBidi"/>
        </w:rPr>
        <w:t>Conventionally, XVA is performed using the “brute-force” approach. The “brute-force” approach is performed as follows:</w:t>
      </w:r>
    </w:p>
    <w:p w14:paraId="443422A8" w14:textId="77777777" w:rsidR="00C41F02" w:rsidRPr="006949F5" w:rsidRDefault="00C41F02" w:rsidP="00C41F02">
      <w:pPr>
        <w:pStyle w:val="ListParagraph"/>
        <w:numPr>
          <w:ilvl w:val="0"/>
          <w:numId w:val="5"/>
        </w:numPr>
        <w:spacing w:after="160" w:line="259" w:lineRule="auto"/>
        <w:rPr>
          <w:rFonts w:asciiTheme="minorHAnsi" w:hAnsiTheme="minorHAnsi" w:cstheme="minorHAnsi"/>
          <w:szCs w:val="22"/>
        </w:rPr>
      </w:pPr>
      <w:r w:rsidRPr="006949F5">
        <w:rPr>
          <w:rFonts w:asciiTheme="minorHAnsi" w:hAnsiTheme="minorHAnsi" w:cstheme="minorHAnsi"/>
          <w:szCs w:val="22"/>
        </w:rPr>
        <w:t>Simulate all associated risk factor scenarios for the risk calculations through either Monte-Carlo simulation or historical collections;</w:t>
      </w:r>
    </w:p>
    <w:p w14:paraId="1F226C1D" w14:textId="77777777" w:rsidR="00C41F02" w:rsidRPr="006949F5" w:rsidRDefault="00C41F02" w:rsidP="00C41F02">
      <w:pPr>
        <w:pStyle w:val="ListParagraph"/>
        <w:numPr>
          <w:ilvl w:val="0"/>
          <w:numId w:val="5"/>
        </w:numPr>
        <w:spacing w:after="160" w:line="259" w:lineRule="auto"/>
        <w:rPr>
          <w:rFonts w:asciiTheme="minorHAnsi" w:hAnsiTheme="minorHAnsi" w:cstheme="minorHAnsi"/>
          <w:szCs w:val="22"/>
        </w:rPr>
      </w:pPr>
      <w:r w:rsidRPr="006949F5">
        <w:rPr>
          <w:rFonts w:asciiTheme="minorHAnsi" w:hAnsiTheme="minorHAnsi" w:cstheme="minorHAnsi"/>
          <w:szCs w:val="22"/>
        </w:rPr>
        <w:t>Price every trade in the underlying portfolio based on the simulated risk factors and compute all associated sensitivities.</w:t>
      </w:r>
    </w:p>
    <w:p w14:paraId="069A494A" w14:textId="69CA431B" w:rsidR="00C41F02" w:rsidRPr="006949F5" w:rsidRDefault="00C41F02" w:rsidP="001042BC">
      <w:pPr>
        <w:jc w:val="both"/>
        <w:rPr>
          <w:rFonts w:asciiTheme="minorHAnsi" w:hAnsiTheme="minorHAnsi" w:cstheme="minorBidi"/>
        </w:rPr>
      </w:pPr>
      <w:r w:rsidRPr="16AED5D4">
        <w:rPr>
          <w:rFonts w:asciiTheme="minorHAnsi" w:hAnsiTheme="minorHAnsi" w:cstheme="minorBidi"/>
        </w:rPr>
        <w:t>The conventional “brute-force” approach is computationally demanding, since multiple portfolios held by the bank must be re-valued. The main problem lies in the second step, since these calculations usually should be performed on a regularly basis, especially the sensitivities are expensive to compute.</w:t>
      </w:r>
    </w:p>
    <w:p w14:paraId="67FA4A90" w14:textId="77777777" w:rsidR="00C41F02" w:rsidRPr="006949F5" w:rsidRDefault="00C41F02" w:rsidP="00C41F02">
      <w:pPr>
        <w:rPr>
          <w:rFonts w:asciiTheme="minorHAnsi" w:hAnsiTheme="minorHAnsi" w:cstheme="minorHAnsi"/>
          <w:szCs w:val="22"/>
        </w:rPr>
      </w:pPr>
    </w:p>
    <w:p w14:paraId="080B5660" w14:textId="2D5E8315" w:rsidR="00C41F02" w:rsidRPr="006949F5" w:rsidRDefault="00C41F02" w:rsidP="16AED5D4">
      <w:pPr>
        <w:rPr>
          <w:rFonts w:asciiTheme="minorHAnsi" w:hAnsiTheme="minorHAnsi" w:cstheme="minorBidi"/>
        </w:rPr>
      </w:pPr>
      <w:r w:rsidRPr="16AED5D4">
        <w:rPr>
          <w:rFonts w:asciiTheme="minorHAnsi" w:hAnsiTheme="minorHAnsi" w:cstheme="minorBidi"/>
        </w:rPr>
        <w:t>To calculate the sensitivities, we need an algorithmic approximation method that is:</w:t>
      </w:r>
    </w:p>
    <w:p w14:paraId="35FD4F1B" w14:textId="77777777" w:rsidR="00C41F02" w:rsidRPr="006949F5" w:rsidRDefault="00C41F02" w:rsidP="00C41F02">
      <w:pPr>
        <w:pStyle w:val="ListParagraph"/>
        <w:numPr>
          <w:ilvl w:val="0"/>
          <w:numId w:val="4"/>
        </w:numPr>
        <w:spacing w:after="160" w:line="259" w:lineRule="auto"/>
        <w:rPr>
          <w:rFonts w:asciiTheme="minorHAnsi" w:hAnsiTheme="minorHAnsi" w:cstheme="minorHAnsi"/>
          <w:szCs w:val="22"/>
        </w:rPr>
      </w:pPr>
      <w:r w:rsidRPr="006949F5">
        <w:rPr>
          <w:rFonts w:asciiTheme="minorHAnsi" w:hAnsiTheme="minorHAnsi" w:cstheme="minorHAnsi"/>
          <w:szCs w:val="22"/>
        </w:rPr>
        <w:t>fast;</w:t>
      </w:r>
    </w:p>
    <w:p w14:paraId="51D09B6B" w14:textId="77777777" w:rsidR="00C41F02" w:rsidRPr="006949F5" w:rsidRDefault="00C41F02" w:rsidP="16AED5D4">
      <w:pPr>
        <w:pStyle w:val="ListParagraph"/>
        <w:numPr>
          <w:ilvl w:val="0"/>
          <w:numId w:val="4"/>
        </w:numPr>
        <w:spacing w:after="160" w:line="259" w:lineRule="auto"/>
        <w:rPr>
          <w:rFonts w:asciiTheme="minorHAnsi" w:hAnsiTheme="minorHAnsi" w:cstheme="minorBidi"/>
        </w:rPr>
      </w:pPr>
      <w:r w:rsidRPr="16AED5D4">
        <w:rPr>
          <w:rFonts w:asciiTheme="minorHAnsi" w:hAnsiTheme="minorHAnsi" w:cstheme="minorBidi"/>
        </w:rPr>
        <w:t>accurate;</w:t>
      </w:r>
    </w:p>
    <w:p w14:paraId="2556432B" w14:textId="77777777" w:rsidR="00C41F02" w:rsidRPr="006949F5" w:rsidRDefault="00C41F02" w:rsidP="00C41F02">
      <w:pPr>
        <w:pStyle w:val="ListParagraph"/>
        <w:numPr>
          <w:ilvl w:val="0"/>
          <w:numId w:val="4"/>
        </w:numPr>
        <w:spacing w:after="160" w:line="259" w:lineRule="auto"/>
        <w:rPr>
          <w:rFonts w:asciiTheme="minorHAnsi" w:hAnsiTheme="minorHAnsi" w:cstheme="minorHAnsi"/>
          <w:szCs w:val="22"/>
        </w:rPr>
      </w:pPr>
      <w:r w:rsidRPr="006949F5">
        <w:rPr>
          <w:rFonts w:asciiTheme="minorHAnsi" w:hAnsiTheme="minorHAnsi" w:cstheme="minorHAnsi"/>
          <w:szCs w:val="22"/>
        </w:rPr>
        <w:t>stable;</w:t>
      </w:r>
    </w:p>
    <w:p w14:paraId="795B7E57" w14:textId="77777777" w:rsidR="00C41F02" w:rsidRPr="006949F5" w:rsidRDefault="00C41F02" w:rsidP="00C41F02">
      <w:pPr>
        <w:pStyle w:val="ListParagraph"/>
        <w:numPr>
          <w:ilvl w:val="0"/>
          <w:numId w:val="4"/>
        </w:numPr>
        <w:spacing w:after="160" w:line="259" w:lineRule="auto"/>
        <w:rPr>
          <w:rFonts w:asciiTheme="minorHAnsi" w:hAnsiTheme="minorHAnsi" w:cstheme="minorHAnsi"/>
          <w:szCs w:val="22"/>
        </w:rPr>
      </w:pPr>
      <w:r w:rsidRPr="006949F5">
        <w:rPr>
          <w:rFonts w:asciiTheme="minorHAnsi" w:hAnsiTheme="minorHAnsi" w:cstheme="minorHAnsi"/>
          <w:szCs w:val="22"/>
        </w:rPr>
        <w:t>low in memory use;</w:t>
      </w:r>
    </w:p>
    <w:p w14:paraId="460AD8E0" w14:textId="77777777" w:rsidR="00C41F02" w:rsidRPr="006949F5" w:rsidRDefault="00C41F02" w:rsidP="00C41F02">
      <w:pPr>
        <w:pStyle w:val="ListParagraph"/>
        <w:numPr>
          <w:ilvl w:val="0"/>
          <w:numId w:val="4"/>
        </w:numPr>
        <w:spacing w:after="160" w:line="259" w:lineRule="auto"/>
        <w:rPr>
          <w:rFonts w:asciiTheme="minorHAnsi" w:hAnsiTheme="minorHAnsi" w:cstheme="minorHAnsi"/>
          <w:szCs w:val="22"/>
        </w:rPr>
      </w:pPr>
      <w:r w:rsidRPr="006949F5">
        <w:rPr>
          <w:rFonts w:asciiTheme="minorHAnsi" w:hAnsiTheme="minorHAnsi" w:cstheme="minorHAnsi"/>
          <w:szCs w:val="22"/>
        </w:rPr>
        <w:t>flexible (in the sense that it can be used in different frameworks).</w:t>
      </w:r>
    </w:p>
    <w:p w14:paraId="292EDA39" w14:textId="77777777" w:rsidR="00C41F02" w:rsidRPr="006949F5" w:rsidRDefault="00C41F02" w:rsidP="001042BC">
      <w:pPr>
        <w:autoSpaceDE w:val="0"/>
        <w:autoSpaceDN w:val="0"/>
        <w:adjustRightInd w:val="0"/>
        <w:spacing w:line="240" w:lineRule="auto"/>
        <w:jc w:val="both"/>
        <w:rPr>
          <w:rFonts w:asciiTheme="minorHAnsi" w:hAnsiTheme="minorHAnsi" w:cstheme="minorHAnsi"/>
          <w:szCs w:val="22"/>
          <w:lang w:eastAsia="en-GB"/>
        </w:rPr>
      </w:pPr>
      <w:r w:rsidRPr="006949F5">
        <w:rPr>
          <w:rFonts w:asciiTheme="minorHAnsi" w:hAnsiTheme="minorHAnsi" w:cstheme="minorHAnsi"/>
          <w:szCs w:val="22"/>
          <w:lang w:eastAsia="en-GB"/>
        </w:rPr>
        <w:t xml:space="preserve">Popular methods developed for calculating sensitivities are Adjoint Algorithmic Differentiation (AAD) and </w:t>
      </w:r>
      <w:r w:rsidRPr="006949F5">
        <w:rPr>
          <w:rFonts w:asciiTheme="minorHAnsi" w:hAnsiTheme="minorHAnsi" w:cstheme="minorHAnsi"/>
          <w:iCs/>
          <w:szCs w:val="22"/>
          <w:lang w:eastAsia="en-GB"/>
        </w:rPr>
        <w:t>Chebyshev Spectral Decomposition</w:t>
      </w:r>
      <w:r w:rsidRPr="006949F5">
        <w:rPr>
          <w:rFonts w:asciiTheme="minorHAnsi" w:hAnsiTheme="minorHAnsi" w:cstheme="minorHAnsi"/>
          <w:szCs w:val="22"/>
          <w:lang w:eastAsia="en-GB"/>
        </w:rPr>
        <w:t>. An alternative for calculating sensitivities might be the Likelihood ratio method in cases the underlying probability density is known.</w:t>
      </w:r>
    </w:p>
    <w:p w14:paraId="0576962D" w14:textId="77777777" w:rsidR="00C41F02" w:rsidRPr="006949F5" w:rsidRDefault="00C41F02" w:rsidP="00C41F02">
      <w:pPr>
        <w:rPr>
          <w:rFonts w:asciiTheme="minorHAnsi" w:hAnsiTheme="minorHAnsi" w:cstheme="minorHAnsi"/>
          <w:szCs w:val="22"/>
        </w:rPr>
      </w:pPr>
    </w:p>
    <w:p w14:paraId="1E56AB67" w14:textId="1893D0C1" w:rsidR="00C41F02" w:rsidRPr="006949F5" w:rsidRDefault="00C41F02" w:rsidP="001042BC">
      <w:pPr>
        <w:rPr>
          <w:rFonts w:asciiTheme="minorHAnsi" w:hAnsiTheme="minorHAnsi" w:cstheme="minorBidi"/>
          <w:lang w:eastAsia="en-GB"/>
        </w:rPr>
      </w:pPr>
      <w:r w:rsidRPr="16AED5D4">
        <w:rPr>
          <w:rFonts w:asciiTheme="minorHAnsi" w:hAnsiTheme="minorHAnsi" w:cstheme="minorBidi"/>
          <w:lang w:eastAsia="en-GB"/>
        </w:rPr>
        <w:t>The goal of this project is to find an efficient approximation method to calculate sensitivities. For some specific choices of model dynamics (e.g., Hull-white) which are analytically tractable, probability density functions are known. In this case, especially the Likelihood ratio method seems interesting. However, high variance problems are expected, which might be tackled with variance reduction techniques.</w:t>
      </w:r>
    </w:p>
    <w:p w14:paraId="62B8485A" w14:textId="3F327F27" w:rsidR="00C41F02" w:rsidRPr="006949F5" w:rsidRDefault="00C41F02" w:rsidP="16AED5D4">
      <w:pPr>
        <w:jc w:val="both"/>
        <w:rPr>
          <w:rFonts w:asciiTheme="minorHAnsi" w:hAnsiTheme="minorHAnsi" w:cstheme="minorBidi"/>
          <w:lang w:eastAsia="en-GB"/>
        </w:rPr>
      </w:pPr>
    </w:p>
    <w:p w14:paraId="316BEB2E" w14:textId="04106BBC" w:rsidR="00C41F02" w:rsidRPr="006949F5" w:rsidRDefault="00C41F02" w:rsidP="16AED5D4">
      <w:pPr>
        <w:jc w:val="both"/>
        <w:rPr>
          <w:rFonts w:asciiTheme="minorHAnsi" w:hAnsiTheme="minorHAnsi" w:cstheme="minorBidi"/>
          <w:lang w:eastAsia="en-GB"/>
        </w:rPr>
      </w:pPr>
      <w:r w:rsidRPr="16AED5D4">
        <w:rPr>
          <w:rFonts w:asciiTheme="minorHAnsi" w:hAnsiTheme="minorHAnsi" w:cstheme="minorBidi"/>
          <w:lang w:eastAsia="en-GB"/>
        </w:rPr>
        <w:t xml:space="preserve">In case time allows, also the other different </w:t>
      </w:r>
      <w:r w:rsidRPr="16AED5D4">
        <w:rPr>
          <w:rFonts w:asciiTheme="minorHAnsi" w:hAnsiTheme="minorHAnsi" w:cstheme="minorBidi"/>
        </w:rPr>
        <w:t xml:space="preserve">algorithmic approximation </w:t>
      </w:r>
      <w:r w:rsidRPr="16AED5D4">
        <w:rPr>
          <w:rFonts w:asciiTheme="minorHAnsi" w:hAnsiTheme="minorHAnsi" w:cstheme="minorBidi"/>
          <w:lang w:eastAsia="en-GB"/>
        </w:rPr>
        <w:t>methods can be investigated and modified to improve its performance</w:t>
      </w:r>
      <w:r w:rsidRPr="16AED5D4">
        <w:rPr>
          <w:rFonts w:asciiTheme="minorHAnsi" w:hAnsiTheme="minorHAnsi" w:cstheme="minorBidi"/>
        </w:rPr>
        <w:t>.</w:t>
      </w:r>
      <w:r w:rsidRPr="16AED5D4">
        <w:rPr>
          <w:rFonts w:asciiTheme="minorHAnsi" w:hAnsiTheme="minorHAnsi" w:cstheme="minorBidi"/>
          <w:lang w:eastAsia="en-GB"/>
        </w:rPr>
        <w:t xml:space="preserve">  </w:t>
      </w:r>
    </w:p>
    <w:p w14:paraId="154ADA22" w14:textId="0A520456" w:rsidR="16AED5D4" w:rsidRDefault="16AED5D4" w:rsidP="16AED5D4">
      <w:pPr>
        <w:spacing w:line="240" w:lineRule="auto"/>
        <w:jc w:val="both"/>
        <w:rPr>
          <w:rFonts w:asciiTheme="minorHAnsi" w:hAnsiTheme="minorHAnsi" w:cstheme="minorBidi"/>
          <w:b/>
          <w:bCs/>
        </w:rPr>
      </w:pPr>
    </w:p>
    <w:p w14:paraId="77DCD614" w14:textId="77777777" w:rsidR="00C41F02" w:rsidRPr="006949F5" w:rsidRDefault="00C41F02" w:rsidP="00C41F02">
      <w:pPr>
        <w:spacing w:line="240" w:lineRule="auto"/>
        <w:jc w:val="both"/>
        <w:rPr>
          <w:rFonts w:asciiTheme="minorHAnsi" w:hAnsiTheme="minorHAnsi" w:cstheme="minorHAnsi"/>
          <w:b/>
          <w:szCs w:val="22"/>
        </w:rPr>
      </w:pPr>
      <w:r w:rsidRPr="006949F5">
        <w:rPr>
          <w:rFonts w:asciiTheme="minorHAnsi" w:hAnsiTheme="minorHAnsi" w:cstheme="minorHAnsi"/>
          <w:b/>
          <w:szCs w:val="22"/>
        </w:rPr>
        <w:t>Objectives</w:t>
      </w:r>
    </w:p>
    <w:p w14:paraId="6E0DBB25" w14:textId="7DCDC1A9" w:rsidR="00C41F02" w:rsidRPr="006949F5" w:rsidRDefault="00C41F02" w:rsidP="16AED5D4">
      <w:pPr>
        <w:pStyle w:val="ListParagraph"/>
        <w:numPr>
          <w:ilvl w:val="0"/>
          <w:numId w:val="6"/>
        </w:numPr>
        <w:jc w:val="both"/>
        <w:rPr>
          <w:rFonts w:asciiTheme="minorHAnsi" w:hAnsiTheme="minorHAnsi" w:cstheme="minorBidi"/>
        </w:rPr>
      </w:pPr>
      <w:r w:rsidRPr="16AED5D4">
        <w:rPr>
          <w:rFonts w:asciiTheme="minorHAnsi" w:hAnsiTheme="minorHAnsi" w:cstheme="minorBidi"/>
        </w:rPr>
        <w:lastRenderedPageBreak/>
        <w:t>Review literature on XVA.</w:t>
      </w:r>
    </w:p>
    <w:p w14:paraId="1FD15A47" w14:textId="473302D3" w:rsidR="00C41F02" w:rsidRPr="006949F5" w:rsidRDefault="00C41F02" w:rsidP="16AED5D4">
      <w:pPr>
        <w:pStyle w:val="ListParagraph"/>
        <w:numPr>
          <w:ilvl w:val="0"/>
          <w:numId w:val="6"/>
        </w:numPr>
        <w:jc w:val="both"/>
        <w:rPr>
          <w:rFonts w:asciiTheme="minorHAnsi" w:hAnsiTheme="minorHAnsi" w:cstheme="minorBidi"/>
        </w:rPr>
      </w:pPr>
      <w:r w:rsidRPr="16AED5D4">
        <w:rPr>
          <w:rFonts w:asciiTheme="minorHAnsi" w:hAnsiTheme="minorHAnsi" w:cstheme="minorBidi"/>
        </w:rPr>
        <w:t xml:space="preserve">Implement the “brute-force” approach for Hull-White for the different valuation adjustments. </w:t>
      </w:r>
    </w:p>
    <w:p w14:paraId="3D81158F" w14:textId="6B9DB07F" w:rsidR="00C41F02" w:rsidRPr="006949F5" w:rsidRDefault="00C41F02" w:rsidP="16AED5D4">
      <w:pPr>
        <w:pStyle w:val="ListParagraph"/>
        <w:numPr>
          <w:ilvl w:val="0"/>
          <w:numId w:val="6"/>
        </w:numPr>
        <w:jc w:val="both"/>
        <w:rPr>
          <w:rFonts w:asciiTheme="minorHAnsi" w:eastAsiaTheme="minorEastAsia" w:hAnsiTheme="minorHAnsi" w:cstheme="minorBidi"/>
          <w:szCs w:val="22"/>
        </w:rPr>
      </w:pPr>
      <w:r w:rsidRPr="16AED5D4">
        <w:rPr>
          <w:rFonts w:asciiTheme="minorHAnsi" w:hAnsiTheme="minorHAnsi" w:cstheme="minorBidi"/>
        </w:rPr>
        <w:t xml:space="preserve">Study and implement different methods to approximate the sensitivities including the </w:t>
      </w:r>
      <w:r w:rsidRPr="16AED5D4">
        <w:rPr>
          <w:rFonts w:asciiTheme="minorHAnsi" w:hAnsiTheme="minorHAnsi" w:cstheme="minorBidi"/>
          <w:lang w:eastAsia="en-GB"/>
        </w:rPr>
        <w:t>Likelihood ratio method</w:t>
      </w:r>
      <w:r w:rsidRPr="16AED5D4">
        <w:rPr>
          <w:rFonts w:asciiTheme="minorHAnsi" w:hAnsiTheme="minorHAnsi" w:cstheme="minorBidi"/>
        </w:rPr>
        <w:t>.</w:t>
      </w:r>
    </w:p>
    <w:p w14:paraId="4C939B1E" w14:textId="099EC6A6" w:rsidR="00C41F02" w:rsidRPr="006949F5" w:rsidRDefault="00C41F02" w:rsidP="16AED5D4">
      <w:pPr>
        <w:pStyle w:val="ListParagraph"/>
        <w:numPr>
          <w:ilvl w:val="0"/>
          <w:numId w:val="6"/>
        </w:numPr>
        <w:spacing w:line="240" w:lineRule="auto"/>
        <w:jc w:val="both"/>
        <w:rPr>
          <w:rFonts w:asciiTheme="minorHAnsi" w:hAnsiTheme="minorHAnsi" w:cstheme="minorBidi"/>
        </w:rPr>
      </w:pPr>
      <w:r w:rsidRPr="16AED5D4">
        <w:rPr>
          <w:rFonts w:asciiTheme="minorHAnsi" w:hAnsiTheme="minorHAnsi" w:cstheme="minorBidi"/>
        </w:rPr>
        <w:t>Try to improve the Likelihood ratio. It is expected that variance reduction is required.</w:t>
      </w:r>
    </w:p>
    <w:p w14:paraId="59324DED" w14:textId="4589962B" w:rsidR="00C41F02" w:rsidRPr="006949F5" w:rsidRDefault="16AED5D4" w:rsidP="16AED5D4">
      <w:pPr>
        <w:pStyle w:val="ListParagraph"/>
        <w:numPr>
          <w:ilvl w:val="0"/>
          <w:numId w:val="6"/>
        </w:numPr>
        <w:spacing w:line="240" w:lineRule="auto"/>
        <w:jc w:val="both"/>
        <w:rPr>
          <w:szCs w:val="22"/>
        </w:rPr>
      </w:pPr>
      <w:r w:rsidRPr="16AED5D4">
        <w:rPr>
          <w:rFonts w:asciiTheme="minorHAnsi" w:hAnsiTheme="minorHAnsi" w:cstheme="minorBidi"/>
        </w:rPr>
        <w:t xml:space="preserve">In case time allows, try to improve other methods. </w:t>
      </w:r>
    </w:p>
    <w:p w14:paraId="5359A3F7" w14:textId="2810CC22" w:rsidR="00C41F02" w:rsidRPr="006949F5" w:rsidRDefault="00C41F02" w:rsidP="16AED5D4">
      <w:pPr>
        <w:pStyle w:val="ListParagraph"/>
        <w:numPr>
          <w:ilvl w:val="0"/>
          <w:numId w:val="6"/>
        </w:numPr>
        <w:spacing w:line="240" w:lineRule="auto"/>
        <w:jc w:val="both"/>
        <w:rPr>
          <w:rFonts w:asciiTheme="minorHAnsi" w:eastAsiaTheme="minorEastAsia" w:hAnsiTheme="minorHAnsi" w:cstheme="minorBidi"/>
          <w:szCs w:val="22"/>
        </w:rPr>
      </w:pPr>
      <w:r w:rsidRPr="16AED5D4">
        <w:rPr>
          <w:rFonts w:asciiTheme="minorHAnsi" w:hAnsiTheme="minorHAnsi" w:cstheme="minorBidi"/>
        </w:rPr>
        <w:t>Perform several numerical experiments to determine the best approach based on portfolio with vanilla and/or exotic interest rate products.</w:t>
      </w:r>
    </w:p>
    <w:p w14:paraId="55B2B333" w14:textId="6C4004F2" w:rsidR="00C41F02" w:rsidRPr="006949F5" w:rsidRDefault="00C41F02" w:rsidP="16AED5D4">
      <w:pPr>
        <w:spacing w:line="240" w:lineRule="auto"/>
        <w:jc w:val="both"/>
      </w:pPr>
    </w:p>
    <w:p w14:paraId="2F12320B" w14:textId="4D1E7CEF" w:rsidR="73860FCE" w:rsidRDefault="73860FCE" w:rsidP="3DDDE9A5">
      <w:pPr>
        <w:spacing w:line="240" w:lineRule="auto"/>
        <w:jc w:val="both"/>
        <w:rPr>
          <w:rFonts w:asciiTheme="minorHAnsi" w:eastAsiaTheme="minorEastAsia" w:hAnsiTheme="minorHAnsi" w:cstheme="minorBidi"/>
          <w:b/>
        </w:rPr>
      </w:pPr>
      <w:r w:rsidRPr="056D53A9">
        <w:rPr>
          <w:rFonts w:asciiTheme="minorHAnsi" w:eastAsiaTheme="minorEastAsia" w:hAnsiTheme="minorHAnsi" w:cstheme="minorBidi"/>
          <w:b/>
        </w:rPr>
        <w:t>Remark</w:t>
      </w:r>
    </w:p>
    <w:p w14:paraId="058875FA" w14:textId="689BC928" w:rsidR="73860FCE" w:rsidRDefault="73860FCE" w:rsidP="51913E3B">
      <w:pPr>
        <w:spacing w:line="240" w:lineRule="auto"/>
        <w:jc w:val="both"/>
        <w:rPr>
          <w:rFonts w:asciiTheme="minorHAnsi" w:eastAsiaTheme="minorEastAsia" w:hAnsiTheme="minorHAnsi" w:cstheme="minorBidi"/>
          <w:b/>
          <w:bCs/>
        </w:rPr>
      </w:pPr>
      <w:r w:rsidRPr="51913E3B">
        <w:rPr>
          <w:rFonts w:asciiTheme="minorHAnsi" w:eastAsiaTheme="minorEastAsia" w:hAnsiTheme="minorHAnsi" w:cstheme="minorBidi"/>
        </w:rPr>
        <w:t>For this project it is a prerequisite that the student has affinity with programming as this is an important part of this</w:t>
      </w:r>
      <w:r w:rsidR="11CA6DD1" w:rsidRPr="51913E3B">
        <w:rPr>
          <w:rFonts w:asciiTheme="minorHAnsi" w:eastAsiaTheme="minorEastAsia" w:hAnsiTheme="minorHAnsi" w:cstheme="minorBidi"/>
        </w:rPr>
        <w:t xml:space="preserve"> project.</w:t>
      </w:r>
    </w:p>
    <w:p w14:paraId="2F3DACD1" w14:textId="455D3CEE" w:rsidR="73860FCE" w:rsidRDefault="73860FCE" w:rsidP="73860FCE">
      <w:pPr>
        <w:spacing w:line="240" w:lineRule="auto"/>
        <w:jc w:val="both"/>
        <w:rPr>
          <w:b/>
          <w:bCs/>
        </w:rPr>
      </w:pPr>
    </w:p>
    <w:p w14:paraId="43919B8C" w14:textId="77777777" w:rsidR="00C41F02" w:rsidRPr="006949F5" w:rsidRDefault="00C41F02" w:rsidP="00C41F02">
      <w:pPr>
        <w:spacing w:line="240" w:lineRule="auto"/>
        <w:jc w:val="both"/>
        <w:rPr>
          <w:rFonts w:asciiTheme="minorHAnsi" w:hAnsiTheme="minorHAnsi" w:cstheme="minorHAnsi"/>
          <w:b/>
          <w:szCs w:val="22"/>
        </w:rPr>
      </w:pPr>
      <w:r w:rsidRPr="006949F5">
        <w:rPr>
          <w:rFonts w:asciiTheme="minorHAnsi" w:hAnsiTheme="minorHAnsi" w:cstheme="minorHAnsi"/>
          <w:b/>
          <w:szCs w:val="22"/>
        </w:rPr>
        <w:t>References</w:t>
      </w:r>
    </w:p>
    <w:p w14:paraId="4409128A" w14:textId="77777777" w:rsidR="00C41F02" w:rsidRPr="006949F5" w:rsidRDefault="00C41F02" w:rsidP="00C41F02">
      <w:pPr>
        <w:autoSpaceDE w:val="0"/>
        <w:autoSpaceDN w:val="0"/>
        <w:adjustRightInd w:val="0"/>
        <w:spacing w:line="240" w:lineRule="auto"/>
        <w:jc w:val="both"/>
        <w:rPr>
          <w:rFonts w:asciiTheme="minorHAnsi" w:hAnsiTheme="minorHAnsi" w:cstheme="minorHAnsi"/>
          <w:szCs w:val="22"/>
          <w:lang w:eastAsia="en-GB"/>
        </w:rPr>
      </w:pPr>
      <w:r w:rsidRPr="006949F5">
        <w:rPr>
          <w:rFonts w:asciiTheme="minorHAnsi" w:hAnsiTheme="minorHAnsi" w:cstheme="minorHAnsi"/>
          <w:szCs w:val="22"/>
          <w:lang w:eastAsia="en-GB"/>
        </w:rPr>
        <w:t xml:space="preserve">[1] A. Green, </w:t>
      </w:r>
      <w:r w:rsidRPr="006949F5">
        <w:rPr>
          <w:rFonts w:asciiTheme="minorHAnsi" w:hAnsiTheme="minorHAnsi" w:cstheme="minorHAnsi"/>
          <w:i/>
          <w:szCs w:val="22"/>
          <w:lang w:eastAsia="en-GB"/>
        </w:rPr>
        <w:t>XVA: Credit, Funding and Capital Valuation Adjustments</w:t>
      </w:r>
      <w:r w:rsidRPr="006949F5">
        <w:rPr>
          <w:rFonts w:asciiTheme="minorHAnsi" w:hAnsiTheme="minorHAnsi" w:cstheme="minorHAnsi"/>
          <w:szCs w:val="22"/>
          <w:lang w:eastAsia="en-GB"/>
        </w:rPr>
        <w:t>, Wiley Finance, 1</w:t>
      </w:r>
      <w:r w:rsidRPr="006949F5">
        <w:rPr>
          <w:rFonts w:asciiTheme="minorHAnsi" w:hAnsiTheme="minorHAnsi" w:cstheme="minorHAnsi"/>
          <w:szCs w:val="22"/>
          <w:vertAlign w:val="superscript"/>
          <w:lang w:eastAsia="en-GB"/>
        </w:rPr>
        <w:t>st</w:t>
      </w:r>
      <w:r w:rsidRPr="006949F5">
        <w:rPr>
          <w:rFonts w:asciiTheme="minorHAnsi" w:hAnsiTheme="minorHAnsi" w:cstheme="minorHAnsi"/>
          <w:szCs w:val="22"/>
          <w:lang w:eastAsia="en-GB"/>
        </w:rPr>
        <w:t xml:space="preserve"> edition, November 2015</w:t>
      </w:r>
    </w:p>
    <w:p w14:paraId="2B191951" w14:textId="77777777" w:rsidR="00C41F02" w:rsidRPr="006949F5" w:rsidRDefault="00C41F02" w:rsidP="00C41F02">
      <w:pPr>
        <w:autoSpaceDE w:val="0"/>
        <w:autoSpaceDN w:val="0"/>
        <w:adjustRightInd w:val="0"/>
        <w:spacing w:line="240" w:lineRule="auto"/>
        <w:jc w:val="both"/>
        <w:rPr>
          <w:rFonts w:asciiTheme="minorHAnsi" w:hAnsiTheme="minorHAnsi" w:cstheme="minorHAnsi"/>
          <w:szCs w:val="22"/>
          <w:lang w:eastAsia="en-GB"/>
        </w:rPr>
      </w:pPr>
      <w:r w:rsidRPr="006949F5">
        <w:rPr>
          <w:rFonts w:asciiTheme="minorHAnsi" w:hAnsiTheme="minorHAnsi" w:cstheme="minorHAnsi"/>
          <w:szCs w:val="22"/>
          <w:lang w:eastAsia="en-GB"/>
        </w:rPr>
        <w:t xml:space="preserve">[2] J. Gregory, </w:t>
      </w:r>
      <w:r w:rsidRPr="006949F5">
        <w:rPr>
          <w:rFonts w:asciiTheme="minorHAnsi" w:hAnsiTheme="minorHAnsi" w:cstheme="minorHAnsi"/>
          <w:i/>
          <w:szCs w:val="22"/>
          <w:lang w:eastAsia="en-GB"/>
        </w:rPr>
        <w:t>Counterparty credit risk and credit value adjustment</w:t>
      </w:r>
      <w:r w:rsidRPr="006949F5">
        <w:rPr>
          <w:rFonts w:asciiTheme="minorHAnsi" w:hAnsiTheme="minorHAnsi" w:cstheme="minorHAnsi"/>
          <w:szCs w:val="22"/>
          <w:lang w:eastAsia="en-GB"/>
        </w:rPr>
        <w:t>, Wiley Finance, 2</w:t>
      </w:r>
      <w:r w:rsidRPr="006949F5">
        <w:rPr>
          <w:rFonts w:asciiTheme="minorHAnsi" w:hAnsiTheme="minorHAnsi" w:cstheme="minorHAnsi"/>
          <w:szCs w:val="22"/>
          <w:vertAlign w:val="superscript"/>
          <w:lang w:eastAsia="en-GB"/>
        </w:rPr>
        <w:t>nd</w:t>
      </w:r>
      <w:r w:rsidRPr="006949F5">
        <w:rPr>
          <w:rFonts w:asciiTheme="minorHAnsi" w:hAnsiTheme="minorHAnsi" w:cstheme="minorHAnsi"/>
          <w:szCs w:val="22"/>
          <w:lang w:eastAsia="en-GB"/>
        </w:rPr>
        <w:t xml:space="preserve"> edition, November 2012</w:t>
      </w:r>
    </w:p>
    <w:p w14:paraId="7CED0274" w14:textId="77777777" w:rsidR="00C41F02" w:rsidRPr="006949F5" w:rsidRDefault="00C41F02" w:rsidP="00C41F02">
      <w:pPr>
        <w:pStyle w:val="Default"/>
        <w:rPr>
          <w:rFonts w:asciiTheme="minorHAnsi" w:hAnsiTheme="minorHAnsi" w:cstheme="minorHAnsi"/>
          <w:sz w:val="22"/>
          <w:szCs w:val="22"/>
        </w:rPr>
      </w:pPr>
      <w:r w:rsidRPr="006949F5">
        <w:rPr>
          <w:rFonts w:asciiTheme="minorHAnsi" w:hAnsiTheme="minorHAnsi" w:cstheme="minorHAnsi"/>
          <w:sz w:val="22"/>
          <w:szCs w:val="22"/>
        </w:rPr>
        <w:t>[3] M. Zeron, I. Ruiz, Chebyshev Methods for Ultra-efficient Risk Calculations, November 2017</w:t>
      </w:r>
    </w:p>
    <w:p w14:paraId="2B8407AA" w14:textId="77777777" w:rsidR="00C41F02" w:rsidRPr="006949F5" w:rsidRDefault="00C41F02" w:rsidP="00C41F02">
      <w:pPr>
        <w:autoSpaceDE w:val="0"/>
        <w:autoSpaceDN w:val="0"/>
        <w:adjustRightInd w:val="0"/>
        <w:spacing w:line="240" w:lineRule="auto"/>
        <w:rPr>
          <w:rFonts w:asciiTheme="minorHAnsi" w:hAnsiTheme="minorHAnsi" w:cstheme="minorHAnsi"/>
          <w:szCs w:val="22"/>
        </w:rPr>
      </w:pPr>
      <w:r w:rsidRPr="006949F5">
        <w:rPr>
          <w:rFonts w:asciiTheme="minorHAnsi" w:hAnsiTheme="minorHAnsi" w:cstheme="minorHAnsi"/>
          <w:szCs w:val="22"/>
        </w:rPr>
        <w:t>[4</w:t>
      </w:r>
      <w:r w:rsidRPr="006949F5">
        <w:rPr>
          <w:rFonts w:asciiTheme="minorHAnsi" w:hAnsiTheme="minorHAnsi" w:cstheme="minorHAnsi"/>
          <w:szCs w:val="22"/>
          <w:lang w:eastAsia="en-GB"/>
        </w:rPr>
        <w:t>] M. Zeron, I. Ruiz, Dynamic Initial Margin via Chebyshev Spectral Decomposition</w:t>
      </w:r>
      <w:r w:rsidRPr="006949F5">
        <w:rPr>
          <w:rFonts w:asciiTheme="minorHAnsi" w:hAnsiTheme="minorHAnsi" w:cstheme="minorHAnsi"/>
          <w:szCs w:val="22"/>
        </w:rPr>
        <w:t>, June 2018</w:t>
      </w:r>
    </w:p>
    <w:p w14:paraId="0326D16A" w14:textId="77777777" w:rsidR="00C41F02" w:rsidRPr="006949F5" w:rsidRDefault="00C41F02" w:rsidP="00C41F02">
      <w:pPr>
        <w:autoSpaceDE w:val="0"/>
        <w:autoSpaceDN w:val="0"/>
        <w:adjustRightInd w:val="0"/>
        <w:spacing w:line="240" w:lineRule="auto"/>
        <w:rPr>
          <w:rFonts w:asciiTheme="minorHAnsi" w:hAnsiTheme="minorHAnsi" w:cstheme="minorHAnsi"/>
          <w:szCs w:val="22"/>
        </w:rPr>
      </w:pPr>
      <w:r w:rsidRPr="006949F5">
        <w:rPr>
          <w:rFonts w:asciiTheme="minorHAnsi" w:hAnsiTheme="minorHAnsi" w:cstheme="minorHAnsi"/>
          <w:szCs w:val="22"/>
        </w:rPr>
        <w:t>[5</w:t>
      </w:r>
      <w:r w:rsidRPr="006949F5">
        <w:rPr>
          <w:rFonts w:asciiTheme="minorHAnsi" w:hAnsiTheme="minorHAnsi" w:cstheme="minorHAnsi"/>
          <w:szCs w:val="22"/>
          <w:lang w:eastAsia="en-GB"/>
        </w:rPr>
        <w:t>] Andrew McClelland, Challenges in xVA Pricing and Risk</w:t>
      </w:r>
      <w:r w:rsidRPr="006949F5">
        <w:rPr>
          <w:rFonts w:asciiTheme="minorHAnsi" w:hAnsiTheme="minorHAnsi" w:cstheme="minorHAnsi"/>
          <w:szCs w:val="22"/>
        </w:rPr>
        <w:t>, September 2017</w:t>
      </w:r>
    </w:p>
    <w:p w14:paraId="033C7C05" w14:textId="77777777" w:rsidR="00C41F02" w:rsidRPr="006949F5" w:rsidRDefault="00C41F02" w:rsidP="00C41F02">
      <w:pPr>
        <w:autoSpaceDE w:val="0"/>
        <w:autoSpaceDN w:val="0"/>
        <w:adjustRightInd w:val="0"/>
        <w:spacing w:line="240" w:lineRule="auto"/>
        <w:rPr>
          <w:rFonts w:asciiTheme="minorHAnsi" w:hAnsiTheme="minorHAnsi" w:cstheme="minorHAnsi"/>
          <w:szCs w:val="22"/>
        </w:rPr>
      </w:pPr>
      <w:r w:rsidRPr="006949F5">
        <w:rPr>
          <w:rFonts w:asciiTheme="minorHAnsi" w:hAnsiTheme="minorHAnsi" w:cstheme="minorHAnsi"/>
          <w:szCs w:val="22"/>
        </w:rPr>
        <w:t>[6</w:t>
      </w:r>
      <w:r w:rsidRPr="006949F5">
        <w:rPr>
          <w:rFonts w:asciiTheme="minorHAnsi" w:hAnsiTheme="minorHAnsi" w:cstheme="minorHAnsi"/>
          <w:szCs w:val="22"/>
          <w:lang w:eastAsia="en-GB"/>
        </w:rPr>
        <w:t>] P. Karlsson, S. Jain &amp; C. W. Oosterlee, Counterparty Credit Exposures for Interest Rate Derivatives using the Stochastic Grid Bundling Method</w:t>
      </w:r>
      <w:r w:rsidRPr="006949F5">
        <w:rPr>
          <w:rFonts w:asciiTheme="minorHAnsi" w:hAnsiTheme="minorHAnsi" w:cstheme="minorHAnsi"/>
          <w:szCs w:val="22"/>
        </w:rPr>
        <w:t>, September 2016.</w:t>
      </w:r>
    </w:p>
    <w:p w14:paraId="426E7B40" w14:textId="77777777" w:rsidR="00C41F02" w:rsidRPr="006949F5" w:rsidRDefault="00C41F02" w:rsidP="00C41F02">
      <w:pPr>
        <w:autoSpaceDE w:val="0"/>
        <w:autoSpaceDN w:val="0"/>
        <w:adjustRightInd w:val="0"/>
        <w:spacing w:line="240" w:lineRule="auto"/>
        <w:rPr>
          <w:rFonts w:asciiTheme="minorHAnsi" w:hAnsiTheme="minorHAnsi" w:cstheme="minorHAnsi"/>
          <w:szCs w:val="22"/>
        </w:rPr>
      </w:pPr>
      <w:r w:rsidRPr="006949F5">
        <w:rPr>
          <w:rFonts w:asciiTheme="minorHAnsi" w:hAnsiTheme="minorHAnsi" w:cstheme="minorHAnsi"/>
          <w:szCs w:val="22"/>
        </w:rPr>
        <w:t>[7] P. Glasserman, Monte Carlo Methods in Financial Engineering.</w:t>
      </w:r>
    </w:p>
    <w:p w14:paraId="237B0FE7" w14:textId="77777777" w:rsidR="00C41F02" w:rsidRPr="006949F5" w:rsidRDefault="00C41F02" w:rsidP="00C41F02">
      <w:pPr>
        <w:autoSpaceDE w:val="0"/>
        <w:autoSpaceDN w:val="0"/>
        <w:adjustRightInd w:val="0"/>
        <w:spacing w:line="240" w:lineRule="auto"/>
        <w:rPr>
          <w:rFonts w:asciiTheme="minorHAnsi" w:hAnsiTheme="minorHAnsi" w:cstheme="minorHAnsi"/>
          <w:szCs w:val="22"/>
          <w:lang w:eastAsia="en-GB"/>
        </w:rPr>
      </w:pPr>
      <w:r w:rsidRPr="006949F5">
        <w:rPr>
          <w:rFonts w:asciiTheme="minorHAnsi" w:hAnsiTheme="minorHAnsi" w:cstheme="minorHAnsi"/>
          <w:szCs w:val="22"/>
        </w:rPr>
        <w:t>[8] J. van der Linden, Monte Carlo Greeks in the lognormal Libor market model.</w:t>
      </w:r>
    </w:p>
    <w:p w14:paraId="431DD1F5" w14:textId="77777777" w:rsidR="00C41F02" w:rsidRDefault="00C41F02" w:rsidP="00C41F02">
      <w:pPr>
        <w:autoSpaceDE w:val="0"/>
        <w:autoSpaceDN w:val="0"/>
        <w:adjustRightInd w:val="0"/>
        <w:spacing w:line="240" w:lineRule="auto"/>
        <w:rPr>
          <w:rFonts w:asciiTheme="minorHAnsi" w:hAnsiTheme="minorHAnsi" w:cstheme="minorHAnsi"/>
          <w:szCs w:val="22"/>
          <w:lang w:eastAsia="en-GB"/>
        </w:rPr>
      </w:pPr>
    </w:p>
    <w:sectPr w:rsidR="00C41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A281F"/>
    <w:multiLevelType w:val="hybridMultilevel"/>
    <w:tmpl w:val="D810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809C0"/>
    <w:multiLevelType w:val="hybridMultilevel"/>
    <w:tmpl w:val="570CFCE0"/>
    <w:lvl w:ilvl="0" w:tplc="AA6A2396">
      <w:start w:val="1"/>
      <w:numFmt w:val="decimal"/>
      <w:lvlText w:val="%1."/>
      <w:lvlJc w:val="left"/>
      <w:pPr>
        <w:ind w:left="720" w:hanging="360"/>
      </w:pPr>
    </w:lvl>
    <w:lvl w:ilvl="1" w:tplc="BBA2EE5E">
      <w:start w:val="1"/>
      <w:numFmt w:val="lowerLetter"/>
      <w:lvlText w:val="%2."/>
      <w:lvlJc w:val="left"/>
      <w:pPr>
        <w:ind w:left="1440" w:hanging="360"/>
      </w:pPr>
    </w:lvl>
    <w:lvl w:ilvl="2" w:tplc="23DE61DA">
      <w:start w:val="1"/>
      <w:numFmt w:val="lowerRoman"/>
      <w:lvlText w:val="%3."/>
      <w:lvlJc w:val="right"/>
      <w:pPr>
        <w:ind w:left="2160" w:hanging="180"/>
      </w:pPr>
    </w:lvl>
    <w:lvl w:ilvl="3" w:tplc="723E25CA">
      <w:start w:val="1"/>
      <w:numFmt w:val="decimal"/>
      <w:lvlText w:val="%4."/>
      <w:lvlJc w:val="left"/>
      <w:pPr>
        <w:ind w:left="2880" w:hanging="360"/>
      </w:pPr>
    </w:lvl>
    <w:lvl w:ilvl="4" w:tplc="3FE46C20">
      <w:start w:val="1"/>
      <w:numFmt w:val="lowerLetter"/>
      <w:lvlText w:val="%5."/>
      <w:lvlJc w:val="left"/>
      <w:pPr>
        <w:ind w:left="3600" w:hanging="360"/>
      </w:pPr>
    </w:lvl>
    <w:lvl w:ilvl="5" w:tplc="A5DEE0AC">
      <w:start w:val="1"/>
      <w:numFmt w:val="lowerRoman"/>
      <w:lvlText w:val="%6."/>
      <w:lvlJc w:val="right"/>
      <w:pPr>
        <w:ind w:left="4320" w:hanging="180"/>
      </w:pPr>
    </w:lvl>
    <w:lvl w:ilvl="6" w:tplc="D690CB62">
      <w:start w:val="1"/>
      <w:numFmt w:val="decimal"/>
      <w:lvlText w:val="%7."/>
      <w:lvlJc w:val="left"/>
      <w:pPr>
        <w:ind w:left="5040" w:hanging="360"/>
      </w:pPr>
    </w:lvl>
    <w:lvl w:ilvl="7" w:tplc="F2AC636C">
      <w:start w:val="1"/>
      <w:numFmt w:val="lowerLetter"/>
      <w:lvlText w:val="%8."/>
      <w:lvlJc w:val="left"/>
      <w:pPr>
        <w:ind w:left="5760" w:hanging="360"/>
      </w:pPr>
    </w:lvl>
    <w:lvl w:ilvl="8" w:tplc="9F2C0870">
      <w:start w:val="1"/>
      <w:numFmt w:val="lowerRoman"/>
      <w:lvlText w:val="%9."/>
      <w:lvlJc w:val="right"/>
      <w:pPr>
        <w:ind w:left="6480" w:hanging="180"/>
      </w:pPr>
    </w:lvl>
  </w:abstractNum>
  <w:abstractNum w:abstractNumId="2" w15:restartNumberingAfterBreak="0">
    <w:nsid w:val="57DD125B"/>
    <w:multiLevelType w:val="hybridMultilevel"/>
    <w:tmpl w:val="FFFFFFFF"/>
    <w:lvl w:ilvl="0" w:tplc="DA4A0A86">
      <w:start w:val="1"/>
      <w:numFmt w:val="decimal"/>
      <w:lvlText w:val="%1."/>
      <w:lvlJc w:val="left"/>
      <w:pPr>
        <w:ind w:left="720" w:hanging="360"/>
      </w:pPr>
    </w:lvl>
    <w:lvl w:ilvl="1" w:tplc="0E54EAC0">
      <w:start w:val="1"/>
      <w:numFmt w:val="lowerLetter"/>
      <w:lvlText w:val="%2."/>
      <w:lvlJc w:val="left"/>
      <w:pPr>
        <w:ind w:left="1440" w:hanging="360"/>
      </w:pPr>
    </w:lvl>
    <w:lvl w:ilvl="2" w:tplc="848ECD78">
      <w:start w:val="1"/>
      <w:numFmt w:val="lowerRoman"/>
      <w:lvlText w:val="%3."/>
      <w:lvlJc w:val="right"/>
      <w:pPr>
        <w:ind w:left="2160" w:hanging="180"/>
      </w:pPr>
    </w:lvl>
    <w:lvl w:ilvl="3" w:tplc="18F48972">
      <w:start w:val="1"/>
      <w:numFmt w:val="decimal"/>
      <w:lvlText w:val="%4."/>
      <w:lvlJc w:val="left"/>
      <w:pPr>
        <w:ind w:left="2880" w:hanging="360"/>
      </w:pPr>
    </w:lvl>
    <w:lvl w:ilvl="4" w:tplc="5F2802D4">
      <w:start w:val="1"/>
      <w:numFmt w:val="lowerLetter"/>
      <w:lvlText w:val="%5."/>
      <w:lvlJc w:val="left"/>
      <w:pPr>
        <w:ind w:left="3600" w:hanging="360"/>
      </w:pPr>
    </w:lvl>
    <w:lvl w:ilvl="5" w:tplc="D5E68ECE">
      <w:start w:val="1"/>
      <w:numFmt w:val="lowerRoman"/>
      <w:lvlText w:val="%6."/>
      <w:lvlJc w:val="right"/>
      <w:pPr>
        <w:ind w:left="4320" w:hanging="180"/>
      </w:pPr>
    </w:lvl>
    <w:lvl w:ilvl="6" w:tplc="D75453AA">
      <w:start w:val="1"/>
      <w:numFmt w:val="decimal"/>
      <w:lvlText w:val="%7."/>
      <w:lvlJc w:val="left"/>
      <w:pPr>
        <w:ind w:left="5040" w:hanging="360"/>
      </w:pPr>
    </w:lvl>
    <w:lvl w:ilvl="7" w:tplc="031EDD74">
      <w:start w:val="1"/>
      <w:numFmt w:val="lowerLetter"/>
      <w:lvlText w:val="%8."/>
      <w:lvlJc w:val="left"/>
      <w:pPr>
        <w:ind w:left="5760" w:hanging="360"/>
      </w:pPr>
    </w:lvl>
    <w:lvl w:ilvl="8" w:tplc="50FE979C">
      <w:start w:val="1"/>
      <w:numFmt w:val="lowerRoman"/>
      <w:lvlText w:val="%9."/>
      <w:lvlJc w:val="right"/>
      <w:pPr>
        <w:ind w:left="6480" w:hanging="180"/>
      </w:pPr>
    </w:lvl>
  </w:abstractNum>
  <w:abstractNum w:abstractNumId="3" w15:restartNumberingAfterBreak="0">
    <w:nsid w:val="5C4F1F4E"/>
    <w:multiLevelType w:val="hybridMultilevel"/>
    <w:tmpl w:val="FFFFFFFF"/>
    <w:lvl w:ilvl="0" w:tplc="692E8238">
      <w:start w:val="1"/>
      <w:numFmt w:val="decimal"/>
      <w:lvlText w:val="%1."/>
      <w:lvlJc w:val="left"/>
      <w:pPr>
        <w:ind w:left="720" w:hanging="360"/>
      </w:pPr>
    </w:lvl>
    <w:lvl w:ilvl="1" w:tplc="0524B3B0">
      <w:start w:val="1"/>
      <w:numFmt w:val="lowerLetter"/>
      <w:lvlText w:val="%2."/>
      <w:lvlJc w:val="left"/>
      <w:pPr>
        <w:ind w:left="1440" w:hanging="360"/>
      </w:pPr>
    </w:lvl>
    <w:lvl w:ilvl="2" w:tplc="068EC4EE">
      <w:start w:val="1"/>
      <w:numFmt w:val="lowerRoman"/>
      <w:lvlText w:val="%3."/>
      <w:lvlJc w:val="right"/>
      <w:pPr>
        <w:ind w:left="2160" w:hanging="180"/>
      </w:pPr>
    </w:lvl>
    <w:lvl w:ilvl="3" w:tplc="68585748">
      <w:start w:val="1"/>
      <w:numFmt w:val="decimal"/>
      <w:lvlText w:val="%4."/>
      <w:lvlJc w:val="left"/>
      <w:pPr>
        <w:ind w:left="2880" w:hanging="360"/>
      </w:pPr>
    </w:lvl>
    <w:lvl w:ilvl="4" w:tplc="010C8B66">
      <w:start w:val="1"/>
      <w:numFmt w:val="lowerLetter"/>
      <w:lvlText w:val="%5."/>
      <w:lvlJc w:val="left"/>
      <w:pPr>
        <w:ind w:left="3600" w:hanging="360"/>
      </w:pPr>
    </w:lvl>
    <w:lvl w:ilvl="5" w:tplc="2E980B96">
      <w:start w:val="1"/>
      <w:numFmt w:val="lowerRoman"/>
      <w:lvlText w:val="%6."/>
      <w:lvlJc w:val="right"/>
      <w:pPr>
        <w:ind w:left="4320" w:hanging="180"/>
      </w:pPr>
    </w:lvl>
    <w:lvl w:ilvl="6" w:tplc="C2DAB254">
      <w:start w:val="1"/>
      <w:numFmt w:val="decimal"/>
      <w:lvlText w:val="%7."/>
      <w:lvlJc w:val="left"/>
      <w:pPr>
        <w:ind w:left="5040" w:hanging="360"/>
      </w:pPr>
    </w:lvl>
    <w:lvl w:ilvl="7" w:tplc="BF9C63DE">
      <w:start w:val="1"/>
      <w:numFmt w:val="lowerLetter"/>
      <w:lvlText w:val="%8."/>
      <w:lvlJc w:val="left"/>
      <w:pPr>
        <w:ind w:left="5760" w:hanging="360"/>
      </w:pPr>
    </w:lvl>
    <w:lvl w:ilvl="8" w:tplc="B5061D30">
      <w:start w:val="1"/>
      <w:numFmt w:val="lowerRoman"/>
      <w:lvlText w:val="%9."/>
      <w:lvlJc w:val="right"/>
      <w:pPr>
        <w:ind w:left="6480" w:hanging="180"/>
      </w:pPr>
    </w:lvl>
  </w:abstractNum>
  <w:abstractNum w:abstractNumId="4" w15:restartNumberingAfterBreak="0">
    <w:nsid w:val="635B7752"/>
    <w:multiLevelType w:val="hybridMultilevel"/>
    <w:tmpl w:val="C8B2008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75080310"/>
    <w:multiLevelType w:val="hybridMultilevel"/>
    <w:tmpl w:val="702A69EC"/>
    <w:lvl w:ilvl="0" w:tplc="F89623B2">
      <w:start w:val="1"/>
      <w:numFmt w:val="bullet"/>
      <w:lvlText w:val=""/>
      <w:lvlJc w:val="left"/>
      <w:pPr>
        <w:ind w:left="720" w:hanging="360"/>
      </w:pPr>
      <w:rPr>
        <w:rFonts w:ascii="Symbol" w:hAnsi="Symbol" w:hint="default"/>
      </w:rPr>
    </w:lvl>
    <w:lvl w:ilvl="1" w:tplc="B20E57F4">
      <w:start w:val="1"/>
      <w:numFmt w:val="bullet"/>
      <w:lvlText w:val="o"/>
      <w:lvlJc w:val="left"/>
      <w:pPr>
        <w:ind w:left="1440" w:hanging="360"/>
      </w:pPr>
      <w:rPr>
        <w:rFonts w:ascii="Courier New" w:hAnsi="Courier New" w:hint="default"/>
      </w:rPr>
    </w:lvl>
    <w:lvl w:ilvl="2" w:tplc="A3D6C604">
      <w:start w:val="1"/>
      <w:numFmt w:val="bullet"/>
      <w:lvlText w:val=""/>
      <w:lvlJc w:val="left"/>
      <w:pPr>
        <w:ind w:left="2160" w:hanging="360"/>
      </w:pPr>
      <w:rPr>
        <w:rFonts w:ascii="Wingdings" w:hAnsi="Wingdings" w:hint="default"/>
      </w:rPr>
    </w:lvl>
    <w:lvl w:ilvl="3" w:tplc="24761440">
      <w:start w:val="1"/>
      <w:numFmt w:val="bullet"/>
      <w:lvlText w:val=""/>
      <w:lvlJc w:val="left"/>
      <w:pPr>
        <w:ind w:left="2880" w:hanging="360"/>
      </w:pPr>
      <w:rPr>
        <w:rFonts w:ascii="Symbol" w:hAnsi="Symbol" w:hint="default"/>
      </w:rPr>
    </w:lvl>
    <w:lvl w:ilvl="4" w:tplc="1FD6C354">
      <w:start w:val="1"/>
      <w:numFmt w:val="bullet"/>
      <w:lvlText w:val="o"/>
      <w:lvlJc w:val="left"/>
      <w:pPr>
        <w:ind w:left="3600" w:hanging="360"/>
      </w:pPr>
      <w:rPr>
        <w:rFonts w:ascii="Courier New" w:hAnsi="Courier New" w:hint="default"/>
      </w:rPr>
    </w:lvl>
    <w:lvl w:ilvl="5" w:tplc="F7C25BB6">
      <w:start w:val="1"/>
      <w:numFmt w:val="bullet"/>
      <w:lvlText w:val=""/>
      <w:lvlJc w:val="left"/>
      <w:pPr>
        <w:ind w:left="4320" w:hanging="360"/>
      </w:pPr>
      <w:rPr>
        <w:rFonts w:ascii="Wingdings" w:hAnsi="Wingdings" w:hint="default"/>
      </w:rPr>
    </w:lvl>
    <w:lvl w:ilvl="6" w:tplc="E4402A16">
      <w:start w:val="1"/>
      <w:numFmt w:val="bullet"/>
      <w:lvlText w:val=""/>
      <w:lvlJc w:val="left"/>
      <w:pPr>
        <w:ind w:left="5040" w:hanging="360"/>
      </w:pPr>
      <w:rPr>
        <w:rFonts w:ascii="Symbol" w:hAnsi="Symbol" w:hint="default"/>
      </w:rPr>
    </w:lvl>
    <w:lvl w:ilvl="7" w:tplc="180AB8E8">
      <w:start w:val="1"/>
      <w:numFmt w:val="bullet"/>
      <w:lvlText w:val="o"/>
      <w:lvlJc w:val="left"/>
      <w:pPr>
        <w:ind w:left="5760" w:hanging="360"/>
      </w:pPr>
      <w:rPr>
        <w:rFonts w:ascii="Courier New" w:hAnsi="Courier New" w:hint="default"/>
      </w:rPr>
    </w:lvl>
    <w:lvl w:ilvl="8" w:tplc="4D4A6834">
      <w:start w:val="1"/>
      <w:numFmt w:val="bullet"/>
      <w:lvlText w:val=""/>
      <w:lvlJc w:val="left"/>
      <w:pPr>
        <w:ind w:left="6480" w:hanging="360"/>
      </w:pPr>
      <w:rPr>
        <w:rFonts w:ascii="Wingdings" w:hAnsi="Wingdings" w:hint="default"/>
      </w:rPr>
    </w:lvl>
  </w:abstractNum>
  <w:abstractNum w:abstractNumId="6" w15:restartNumberingAfterBreak="0">
    <w:nsid w:val="78220CBE"/>
    <w:multiLevelType w:val="hybridMultilevel"/>
    <w:tmpl w:val="17347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E33"/>
    <w:multiLevelType w:val="hybridMultilevel"/>
    <w:tmpl w:val="F88A7E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65614">
    <w:abstractNumId w:val="5"/>
  </w:num>
  <w:num w:numId="2" w16cid:durableId="1191338581">
    <w:abstractNumId w:val="1"/>
  </w:num>
  <w:num w:numId="3" w16cid:durableId="812597297">
    <w:abstractNumId w:val="2"/>
  </w:num>
  <w:num w:numId="4" w16cid:durableId="1783844132">
    <w:abstractNumId w:val="0"/>
  </w:num>
  <w:num w:numId="5" w16cid:durableId="1606618176">
    <w:abstractNumId w:val="6"/>
  </w:num>
  <w:num w:numId="6" w16cid:durableId="1753702248">
    <w:abstractNumId w:val="7"/>
  </w:num>
  <w:num w:numId="7" w16cid:durableId="1977636430">
    <w:abstractNumId w:val="4"/>
  </w:num>
  <w:num w:numId="8" w16cid:durableId="1799293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FE"/>
    <w:rsid w:val="00013801"/>
    <w:rsid w:val="000661ED"/>
    <w:rsid w:val="000E0D53"/>
    <w:rsid w:val="001042BC"/>
    <w:rsid w:val="001509FE"/>
    <w:rsid w:val="00161522"/>
    <w:rsid w:val="0018F21A"/>
    <w:rsid w:val="001B6B52"/>
    <w:rsid w:val="0021309A"/>
    <w:rsid w:val="00263DEE"/>
    <w:rsid w:val="002758DC"/>
    <w:rsid w:val="00280F64"/>
    <w:rsid w:val="002C0CAF"/>
    <w:rsid w:val="002C30C3"/>
    <w:rsid w:val="002C413B"/>
    <w:rsid w:val="002D27D7"/>
    <w:rsid w:val="002D27E4"/>
    <w:rsid w:val="003173E1"/>
    <w:rsid w:val="003221D3"/>
    <w:rsid w:val="003A041A"/>
    <w:rsid w:val="003A6656"/>
    <w:rsid w:val="003B0DD8"/>
    <w:rsid w:val="003D7536"/>
    <w:rsid w:val="00477B6B"/>
    <w:rsid w:val="004A6F57"/>
    <w:rsid w:val="0050138D"/>
    <w:rsid w:val="00512FAA"/>
    <w:rsid w:val="00550B93"/>
    <w:rsid w:val="005B6BF6"/>
    <w:rsid w:val="005C3090"/>
    <w:rsid w:val="0061556F"/>
    <w:rsid w:val="00623D56"/>
    <w:rsid w:val="00635F24"/>
    <w:rsid w:val="00641DAF"/>
    <w:rsid w:val="00642BCB"/>
    <w:rsid w:val="00650456"/>
    <w:rsid w:val="006949F5"/>
    <w:rsid w:val="00694DCD"/>
    <w:rsid w:val="00742B29"/>
    <w:rsid w:val="00756A33"/>
    <w:rsid w:val="007A543A"/>
    <w:rsid w:val="00831726"/>
    <w:rsid w:val="00841A2D"/>
    <w:rsid w:val="008457B5"/>
    <w:rsid w:val="008506B7"/>
    <w:rsid w:val="0088396A"/>
    <w:rsid w:val="00893CA6"/>
    <w:rsid w:val="008D70F0"/>
    <w:rsid w:val="00952DAD"/>
    <w:rsid w:val="0096163C"/>
    <w:rsid w:val="009E5C58"/>
    <w:rsid w:val="009F6A0C"/>
    <w:rsid w:val="00A25C89"/>
    <w:rsid w:val="00A36FFC"/>
    <w:rsid w:val="00AC0311"/>
    <w:rsid w:val="00B712FF"/>
    <w:rsid w:val="00BA25D6"/>
    <w:rsid w:val="00BB7B0D"/>
    <w:rsid w:val="00C41F02"/>
    <w:rsid w:val="00C676D9"/>
    <w:rsid w:val="00CC50AA"/>
    <w:rsid w:val="00CE1D21"/>
    <w:rsid w:val="00D12266"/>
    <w:rsid w:val="00D134F4"/>
    <w:rsid w:val="00D613F7"/>
    <w:rsid w:val="00D63449"/>
    <w:rsid w:val="00D75CAF"/>
    <w:rsid w:val="00D95C5C"/>
    <w:rsid w:val="00DB09DE"/>
    <w:rsid w:val="00DD70B3"/>
    <w:rsid w:val="00E25CFD"/>
    <w:rsid w:val="00F1320E"/>
    <w:rsid w:val="00F559AC"/>
    <w:rsid w:val="00F819AD"/>
    <w:rsid w:val="00FF19E7"/>
    <w:rsid w:val="030EABE7"/>
    <w:rsid w:val="03690C31"/>
    <w:rsid w:val="041D9D74"/>
    <w:rsid w:val="045DFD75"/>
    <w:rsid w:val="04DC10B8"/>
    <w:rsid w:val="056D53A9"/>
    <w:rsid w:val="059FC1CD"/>
    <w:rsid w:val="07343F79"/>
    <w:rsid w:val="08EF5C2C"/>
    <w:rsid w:val="094B3C6C"/>
    <w:rsid w:val="0978071D"/>
    <w:rsid w:val="098FCDB9"/>
    <w:rsid w:val="0A9A6EF6"/>
    <w:rsid w:val="0AC640CE"/>
    <w:rsid w:val="0B69A49D"/>
    <w:rsid w:val="0D4D7AD5"/>
    <w:rsid w:val="0E70EDDE"/>
    <w:rsid w:val="0EF93A26"/>
    <w:rsid w:val="1005E1D0"/>
    <w:rsid w:val="10EA61FA"/>
    <w:rsid w:val="11CA6DD1"/>
    <w:rsid w:val="11F475FB"/>
    <w:rsid w:val="13589C13"/>
    <w:rsid w:val="135B0240"/>
    <w:rsid w:val="142B0A6A"/>
    <w:rsid w:val="149F4A9A"/>
    <w:rsid w:val="14D41F8A"/>
    <w:rsid w:val="1525D1C6"/>
    <w:rsid w:val="1611A961"/>
    <w:rsid w:val="168D1C91"/>
    <w:rsid w:val="16AED5D4"/>
    <w:rsid w:val="16D825D6"/>
    <w:rsid w:val="16ED5CBC"/>
    <w:rsid w:val="16FF7807"/>
    <w:rsid w:val="184174A2"/>
    <w:rsid w:val="18786D18"/>
    <w:rsid w:val="18A7C64C"/>
    <w:rsid w:val="19057FF6"/>
    <w:rsid w:val="19C4BD53"/>
    <w:rsid w:val="1A5749D6"/>
    <w:rsid w:val="1A891117"/>
    <w:rsid w:val="1AA15057"/>
    <w:rsid w:val="1AA93DDD"/>
    <w:rsid w:val="1B466938"/>
    <w:rsid w:val="1C2D14A1"/>
    <w:rsid w:val="1C3D20B8"/>
    <w:rsid w:val="1C419243"/>
    <w:rsid w:val="1CA77948"/>
    <w:rsid w:val="1CD44F8C"/>
    <w:rsid w:val="1CE23999"/>
    <w:rsid w:val="1D1131B7"/>
    <w:rsid w:val="1D7B376F"/>
    <w:rsid w:val="1F1707D0"/>
    <w:rsid w:val="202B0165"/>
    <w:rsid w:val="20B2D831"/>
    <w:rsid w:val="20D6E804"/>
    <w:rsid w:val="2204D849"/>
    <w:rsid w:val="22594F3A"/>
    <w:rsid w:val="22832DC8"/>
    <w:rsid w:val="22A6AD73"/>
    <w:rsid w:val="2469733C"/>
    <w:rsid w:val="248FF8D9"/>
    <w:rsid w:val="2627852A"/>
    <w:rsid w:val="2712C31F"/>
    <w:rsid w:val="273F9963"/>
    <w:rsid w:val="27C7999B"/>
    <w:rsid w:val="298253D5"/>
    <w:rsid w:val="29EFD165"/>
    <w:rsid w:val="2C5B3208"/>
    <w:rsid w:val="2C9EFC35"/>
    <w:rsid w:val="2CC79D61"/>
    <w:rsid w:val="2CE1E3C0"/>
    <w:rsid w:val="2CFD7F2D"/>
    <w:rsid w:val="2D735982"/>
    <w:rsid w:val="2D79C8A1"/>
    <w:rsid w:val="2ED1398B"/>
    <w:rsid w:val="2ED35A02"/>
    <w:rsid w:val="2F22B08C"/>
    <w:rsid w:val="306D09EC"/>
    <w:rsid w:val="30959188"/>
    <w:rsid w:val="30D0E981"/>
    <w:rsid w:val="31ADCCFF"/>
    <w:rsid w:val="31BFB9D9"/>
    <w:rsid w:val="31DA3E9C"/>
    <w:rsid w:val="3207FAD4"/>
    <w:rsid w:val="3222661E"/>
    <w:rsid w:val="32987F0F"/>
    <w:rsid w:val="3387A3E3"/>
    <w:rsid w:val="33C3571E"/>
    <w:rsid w:val="347A427E"/>
    <w:rsid w:val="364EFE56"/>
    <w:rsid w:val="38029B8B"/>
    <w:rsid w:val="380E9633"/>
    <w:rsid w:val="382F74E3"/>
    <w:rsid w:val="38787F45"/>
    <w:rsid w:val="3910809C"/>
    <w:rsid w:val="39340047"/>
    <w:rsid w:val="39786D7D"/>
    <w:rsid w:val="399EFD2C"/>
    <w:rsid w:val="39E86D17"/>
    <w:rsid w:val="3A127541"/>
    <w:rsid w:val="3A23920F"/>
    <w:rsid w:val="3A3F72C3"/>
    <w:rsid w:val="3A9914B3"/>
    <w:rsid w:val="3A9C304E"/>
    <w:rsid w:val="3BEFF8BD"/>
    <w:rsid w:val="3C1563C3"/>
    <w:rsid w:val="3C6A7FD8"/>
    <w:rsid w:val="3CDA7F72"/>
    <w:rsid w:val="3CEFB658"/>
    <w:rsid w:val="3D797165"/>
    <w:rsid w:val="3DDB271E"/>
    <w:rsid w:val="3DDDE9A5"/>
    <w:rsid w:val="3F5C9233"/>
    <w:rsid w:val="3FA18922"/>
    <w:rsid w:val="406B83C0"/>
    <w:rsid w:val="41BB9F97"/>
    <w:rsid w:val="421F618B"/>
    <w:rsid w:val="422EA3F4"/>
    <w:rsid w:val="42728AF7"/>
    <w:rsid w:val="4285BAA5"/>
    <w:rsid w:val="437D176C"/>
    <w:rsid w:val="43AA7A90"/>
    <w:rsid w:val="43BB31EC"/>
    <w:rsid w:val="441C095F"/>
    <w:rsid w:val="44802790"/>
    <w:rsid w:val="449A1B86"/>
    <w:rsid w:val="44ADB1F2"/>
    <w:rsid w:val="44F27610"/>
    <w:rsid w:val="450624F2"/>
    <w:rsid w:val="456644B6"/>
    <w:rsid w:val="4705BC89"/>
    <w:rsid w:val="4830E965"/>
    <w:rsid w:val="488B3513"/>
    <w:rsid w:val="489DE578"/>
    <w:rsid w:val="48BAF51C"/>
    <w:rsid w:val="491A71C7"/>
    <w:rsid w:val="4925D1E3"/>
    <w:rsid w:val="4B022983"/>
    <w:rsid w:val="4B803CC6"/>
    <w:rsid w:val="4BEB2008"/>
    <w:rsid w:val="4C18851B"/>
    <w:rsid w:val="4CD84FC0"/>
    <w:rsid w:val="4DA9DA6E"/>
    <w:rsid w:val="4E55D725"/>
    <w:rsid w:val="4EB74610"/>
    <w:rsid w:val="4F45AACF"/>
    <w:rsid w:val="4F8F5A55"/>
    <w:rsid w:val="5033F9C7"/>
    <w:rsid w:val="504F2638"/>
    <w:rsid w:val="512B2AB6"/>
    <w:rsid w:val="51913E3B"/>
    <w:rsid w:val="520DD0AB"/>
    <w:rsid w:val="529F466D"/>
    <w:rsid w:val="52E17AD5"/>
    <w:rsid w:val="53E7A78F"/>
    <w:rsid w:val="5463FB9B"/>
    <w:rsid w:val="55463BB6"/>
    <w:rsid w:val="55F03DFB"/>
    <w:rsid w:val="57851DF0"/>
    <w:rsid w:val="57AD6414"/>
    <w:rsid w:val="57E3910E"/>
    <w:rsid w:val="58EC8D15"/>
    <w:rsid w:val="59666379"/>
    <w:rsid w:val="5B7432E3"/>
    <w:rsid w:val="5B76F56A"/>
    <w:rsid w:val="5C74D457"/>
    <w:rsid w:val="5CA90D5C"/>
    <w:rsid w:val="5CCA8384"/>
    <w:rsid w:val="5CE4291F"/>
    <w:rsid w:val="5E5AC018"/>
    <w:rsid w:val="5E97E855"/>
    <w:rsid w:val="5F120FEF"/>
    <w:rsid w:val="5F536641"/>
    <w:rsid w:val="5F5628C8"/>
    <w:rsid w:val="5FE4BCFF"/>
    <w:rsid w:val="5FF69079"/>
    <w:rsid w:val="60CB876C"/>
    <w:rsid w:val="612FFFAC"/>
    <w:rsid w:val="62483B23"/>
    <w:rsid w:val="637AA6A9"/>
    <w:rsid w:val="65051297"/>
    <w:rsid w:val="6508DE20"/>
    <w:rsid w:val="650DB59E"/>
    <w:rsid w:val="6576BCE0"/>
    <w:rsid w:val="65D7D0AC"/>
    <w:rsid w:val="66CF2D73"/>
    <w:rsid w:val="66D85481"/>
    <w:rsid w:val="6801A25E"/>
    <w:rsid w:val="68020933"/>
    <w:rsid w:val="68178E95"/>
    <w:rsid w:val="68468FE8"/>
    <w:rsid w:val="69EEB91D"/>
    <w:rsid w:val="6AD9E0E7"/>
    <w:rsid w:val="6CE45BAD"/>
    <w:rsid w:val="6D14EC37"/>
    <w:rsid w:val="6DE6E207"/>
    <w:rsid w:val="736E4932"/>
    <w:rsid w:val="73860FCE"/>
    <w:rsid w:val="73FE3F2A"/>
    <w:rsid w:val="74C1A034"/>
    <w:rsid w:val="74C6FD09"/>
    <w:rsid w:val="755FE6B2"/>
    <w:rsid w:val="75ED7AF0"/>
    <w:rsid w:val="78A93BEA"/>
    <w:rsid w:val="796A0E41"/>
    <w:rsid w:val="79F930BB"/>
    <w:rsid w:val="7A40D406"/>
    <w:rsid w:val="7A450C4B"/>
    <w:rsid w:val="7BEF61AF"/>
    <w:rsid w:val="7CE15157"/>
    <w:rsid w:val="7E1ED2F4"/>
    <w:rsid w:val="7F308048"/>
    <w:rsid w:val="7FF86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84E1"/>
  <w15:chartTrackingRefBased/>
  <w15:docId w15:val="{3FFECB80-FF86-4EC1-AF0B-8E0448CE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02"/>
    <w:pPr>
      <w:spacing w:after="0" w:line="260" w:lineRule="atLeast"/>
    </w:pPr>
    <w:rPr>
      <w:rFonts w:ascii="Times New Roman" w:eastAsia="Times New Roman" w:hAnsi="Times New Roman" w:cs="Times New Roman"/>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41F02"/>
    <w:rPr>
      <w:color w:val="0563C1" w:themeColor="hyperlink"/>
      <w:u w:val="single"/>
    </w:rPr>
  </w:style>
  <w:style w:type="paragraph" w:styleId="ListParagraph">
    <w:name w:val="List Paragraph"/>
    <w:basedOn w:val="Normal"/>
    <w:uiPriority w:val="34"/>
    <w:qFormat/>
    <w:rsid w:val="00C41F02"/>
    <w:pPr>
      <w:ind w:left="720"/>
      <w:contextualSpacing/>
    </w:pPr>
  </w:style>
  <w:style w:type="paragraph" w:customStyle="1" w:styleId="Default">
    <w:name w:val="Default"/>
    <w:rsid w:val="00C41F02"/>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CommentText">
    <w:name w:val="annotation text"/>
    <w:basedOn w:val="Normal"/>
    <w:link w:val="CommentTextChar"/>
    <w:uiPriority w:val="99"/>
    <w:semiHidden/>
    <w:unhideWhenUsed/>
    <w:rsid w:val="009E5C58"/>
    <w:pPr>
      <w:spacing w:line="240" w:lineRule="auto"/>
    </w:pPr>
    <w:rPr>
      <w:sz w:val="20"/>
      <w:szCs w:val="20"/>
    </w:rPr>
  </w:style>
  <w:style w:type="character" w:customStyle="1" w:styleId="CommentTextChar">
    <w:name w:val="Comment Text Char"/>
    <w:basedOn w:val="DefaultParagraphFont"/>
    <w:link w:val="CommentText"/>
    <w:uiPriority w:val="99"/>
    <w:semiHidden/>
    <w:rsid w:val="009E5C58"/>
    <w:rPr>
      <w:rFonts w:ascii="Times New Roman" w:eastAsia="Times New Roman" w:hAnsi="Times New Roman" w:cs="Times New Roman"/>
      <w:sz w:val="20"/>
      <w:szCs w:val="20"/>
      <w:lang w:val="en-GB" w:eastAsia="nl-NL"/>
    </w:rPr>
  </w:style>
  <w:style w:type="character" w:styleId="CommentReference">
    <w:name w:val="annotation reference"/>
    <w:basedOn w:val="DefaultParagraphFont"/>
    <w:uiPriority w:val="99"/>
    <w:semiHidden/>
    <w:unhideWhenUsed/>
    <w:rsid w:val="009E5C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4" ma:contentTypeDescription="Create a new document." ma:contentTypeScope="" ma:versionID="0d3a4b2e9894b679f3db726f59bf6eaf">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36535d7c2332419e4124ea1337ea4b36"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a7fec-a15f-4084-af63-abe707fc4185">
      <Terms xmlns="http://schemas.microsoft.com/office/infopath/2007/PartnerControls"/>
    </lcf76f155ced4ddcb4097134ff3c332f>
    <TaxCatchAll xmlns="aee54256-6f3c-4290-aced-64b2dd12649b" xsi:nil="true"/>
    <Comment xmlns="24da7fec-a15f-4084-af63-abe707fc4185" xsi:nil="true"/>
  </documentManagement>
</p:properties>
</file>

<file path=customXml/itemProps1.xml><?xml version="1.0" encoding="utf-8"?>
<ds:datastoreItem xmlns:ds="http://schemas.openxmlformats.org/officeDocument/2006/customXml" ds:itemID="{D9DE9789-88B9-4225-A352-8D72FAA33658}">
  <ds:schemaRefs>
    <ds:schemaRef ds:uri="http://schemas.openxmlformats.org/officeDocument/2006/bibliography"/>
  </ds:schemaRefs>
</ds:datastoreItem>
</file>

<file path=customXml/itemProps2.xml><?xml version="1.0" encoding="utf-8"?>
<ds:datastoreItem xmlns:ds="http://schemas.openxmlformats.org/officeDocument/2006/customXml" ds:itemID="{7F9DEF47-500C-44EB-9A8B-CA215E37FBC9}"/>
</file>

<file path=customXml/itemProps3.xml><?xml version="1.0" encoding="utf-8"?>
<ds:datastoreItem xmlns:ds="http://schemas.openxmlformats.org/officeDocument/2006/customXml" ds:itemID="{687297FF-9625-4F58-B22C-DF907262C0EA}">
  <ds:schemaRefs>
    <ds:schemaRef ds:uri="http://schemas.microsoft.com/sharepoint/v3/contenttype/forms"/>
  </ds:schemaRefs>
</ds:datastoreItem>
</file>

<file path=customXml/itemProps4.xml><?xml version="1.0" encoding="utf-8"?>
<ds:datastoreItem xmlns:ds="http://schemas.openxmlformats.org/officeDocument/2006/customXml" ds:itemID="{6FB479FB-0A93-4E1F-BA5B-F4236C4126EE}">
  <ds:schemaRefs>
    <ds:schemaRef ds:uri="http://schemas.microsoft.com/office/2006/metadata/properties"/>
    <ds:schemaRef ds:uri="http://schemas.microsoft.com/office/infopath/2007/PartnerControls"/>
    <ds:schemaRef ds:uri="ff5bc535-5d64-4131-9ed1-b4c3ce25f30e"/>
    <ds:schemaRef ds:uri="31f89fa9-4249-4adf-9cad-2301af9cc3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Zwaard van der, T (Thomas)</dc:creator>
  <cp:keywords/>
  <dc:description/>
  <cp:lastModifiedBy>Borst, SLC (Sebastiaan)</cp:lastModifiedBy>
  <cp:revision>57</cp:revision>
  <dcterms:created xsi:type="dcterms:W3CDTF">2022-03-09T18:08:00Z</dcterms:created>
  <dcterms:modified xsi:type="dcterms:W3CDTF">2022-09-30T12:02:00Z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0x010100BAC08AEA2EA2F44F8380BEBB19CE8099</vt:lpwstr>
  </property>
  <property fmtid="{D5CDD505-2E9C-101B-9397-08002B2CF9AE}" pid="3" name="MediaServiceImageTags">
    <vt:lpwstr/>
  </property>
</Properties>
</file>