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331A0" w14:textId="2C9500A1" w:rsidR="000563E1" w:rsidRDefault="000563E1" w:rsidP="000563E1">
      <w:pPr>
        <w:spacing w:line="227" w:lineRule="atLeast"/>
        <w:rPr>
          <w:rFonts w:ascii="Verdana" w:hAnsi="Verdana"/>
          <w:sz w:val="17"/>
          <w:szCs w:val="17"/>
        </w:rPr>
      </w:pPr>
      <w:r>
        <w:rPr>
          <w:rFonts w:ascii="Verdana" w:hAnsi="Verdana"/>
          <w:sz w:val="17"/>
          <w:szCs w:val="17"/>
        </w:rPr>
        <w:t xml:space="preserve">Every quarter DNB publishes a set of economic scenarios (P-scenarios) and risk neutral scenarios (Q-scenarios) which pension funds must use as per regulations for risk management [1]. Furthermore, these scenarios serve more purposes for pension funds, such as but not limited to: defining risk attitudes, valuation of pension contracts, quantifying transition effects and pension fund communication with participants. The set of economic scenarios are generated by an economic model, which gets revised every 5 years by the Commission Parameters. In the previous model, the economic scenarios were generated by the </w:t>
      </w:r>
      <w:proofErr w:type="spellStart"/>
      <w:r>
        <w:rPr>
          <w:rFonts w:ascii="Verdana" w:hAnsi="Verdana"/>
          <w:sz w:val="17"/>
          <w:szCs w:val="17"/>
        </w:rPr>
        <w:t>Koijen</w:t>
      </w:r>
      <w:proofErr w:type="spellEnd"/>
      <w:r>
        <w:rPr>
          <w:rFonts w:ascii="Verdana" w:hAnsi="Verdana"/>
          <w:sz w:val="17"/>
          <w:szCs w:val="17"/>
        </w:rPr>
        <w:t>-Nijman-</w:t>
      </w:r>
      <w:proofErr w:type="spellStart"/>
      <w:r>
        <w:rPr>
          <w:rFonts w:ascii="Verdana" w:hAnsi="Verdana"/>
          <w:sz w:val="17"/>
          <w:szCs w:val="17"/>
        </w:rPr>
        <w:t>Werker</w:t>
      </w:r>
      <w:proofErr w:type="spellEnd"/>
      <w:r>
        <w:rPr>
          <w:rFonts w:ascii="Verdana" w:hAnsi="Verdana"/>
          <w:sz w:val="17"/>
          <w:szCs w:val="17"/>
        </w:rPr>
        <w:t xml:space="preserve"> (KNW) model [2</w:t>
      </w:r>
      <w:r w:rsidR="000E393E">
        <w:rPr>
          <w:rFonts w:ascii="Verdana" w:hAnsi="Verdana"/>
          <w:sz w:val="17"/>
          <w:szCs w:val="17"/>
        </w:rPr>
        <w:t xml:space="preserve">]. The pension transition and the Wet </w:t>
      </w:r>
      <w:proofErr w:type="spellStart"/>
      <w:r w:rsidR="000E393E">
        <w:rPr>
          <w:rFonts w:ascii="Verdana" w:hAnsi="Verdana"/>
          <w:sz w:val="17"/>
          <w:szCs w:val="17"/>
        </w:rPr>
        <w:t>toekomst</w:t>
      </w:r>
      <w:proofErr w:type="spellEnd"/>
      <w:r w:rsidR="000E393E">
        <w:rPr>
          <w:rFonts w:ascii="Verdana" w:hAnsi="Verdana"/>
          <w:sz w:val="17"/>
          <w:szCs w:val="17"/>
        </w:rPr>
        <w:t xml:space="preserve"> </w:t>
      </w:r>
      <w:proofErr w:type="spellStart"/>
      <w:r w:rsidR="000E393E">
        <w:rPr>
          <w:rFonts w:ascii="Verdana" w:hAnsi="Verdana"/>
          <w:sz w:val="17"/>
          <w:szCs w:val="17"/>
        </w:rPr>
        <w:t>pensioenen</w:t>
      </w:r>
      <w:proofErr w:type="spellEnd"/>
      <w:r w:rsidR="000E393E">
        <w:rPr>
          <w:rFonts w:ascii="Verdana" w:hAnsi="Verdana"/>
          <w:sz w:val="17"/>
          <w:szCs w:val="17"/>
        </w:rPr>
        <w:t xml:space="preserve"> (</w:t>
      </w:r>
      <w:proofErr w:type="spellStart"/>
      <w:r w:rsidR="000E393E">
        <w:rPr>
          <w:rFonts w:ascii="Verdana" w:hAnsi="Verdana"/>
          <w:sz w:val="17"/>
          <w:szCs w:val="17"/>
        </w:rPr>
        <w:t>Wtp</w:t>
      </w:r>
      <w:proofErr w:type="spellEnd"/>
      <w:r w:rsidR="000E393E">
        <w:rPr>
          <w:rFonts w:ascii="Verdana" w:hAnsi="Verdana"/>
          <w:sz w:val="17"/>
          <w:szCs w:val="17"/>
        </w:rPr>
        <w:t xml:space="preserve">) mandated an extension of the model </w:t>
      </w:r>
      <w:r w:rsidR="00372075">
        <w:rPr>
          <w:rFonts w:ascii="Verdana" w:hAnsi="Verdana"/>
          <w:sz w:val="17"/>
          <w:szCs w:val="17"/>
        </w:rPr>
        <w:t xml:space="preserve">which can generate Q-scenarios as well besides only P-scenarios. This new model is called </w:t>
      </w:r>
      <w:r w:rsidR="004E010B">
        <w:rPr>
          <w:rFonts w:ascii="Verdana" w:hAnsi="Verdana"/>
          <w:sz w:val="17"/>
          <w:szCs w:val="17"/>
        </w:rPr>
        <w:t xml:space="preserve">the CP 2022 model [3]. </w:t>
      </w:r>
      <w:r>
        <w:rPr>
          <w:rFonts w:ascii="Verdana" w:hAnsi="Verdana"/>
          <w:sz w:val="17"/>
          <w:szCs w:val="17"/>
        </w:rPr>
        <w:t xml:space="preserve">The key modifications and extensions to the KNW model are: </w:t>
      </w:r>
    </w:p>
    <w:p w14:paraId="4B2378A7" w14:textId="77777777" w:rsidR="000563E1" w:rsidRDefault="000563E1" w:rsidP="000563E1">
      <w:pPr>
        <w:pStyle w:val="Lijstalinea"/>
        <w:numPr>
          <w:ilvl w:val="0"/>
          <w:numId w:val="1"/>
        </w:numPr>
        <w:spacing w:line="227" w:lineRule="atLeast"/>
        <w:rPr>
          <w:rFonts w:ascii="Verdana" w:hAnsi="Verdana"/>
          <w:sz w:val="17"/>
          <w:szCs w:val="17"/>
        </w:rPr>
      </w:pPr>
      <w:r>
        <w:rPr>
          <w:rFonts w:ascii="Verdana" w:hAnsi="Verdana"/>
          <w:sz w:val="17"/>
          <w:szCs w:val="17"/>
        </w:rPr>
        <w:t>Using a stochastic volatility parameter that drives the risk factors instead of a deterministic volatility parameter.</w:t>
      </w:r>
    </w:p>
    <w:p w14:paraId="4DF2C0A1" w14:textId="5442420A" w:rsidR="000563E1" w:rsidRPr="00945280" w:rsidRDefault="000563E1" w:rsidP="00945280">
      <w:pPr>
        <w:pStyle w:val="Lijstalinea"/>
        <w:numPr>
          <w:ilvl w:val="0"/>
          <w:numId w:val="1"/>
        </w:numPr>
        <w:spacing w:line="227" w:lineRule="atLeast"/>
        <w:rPr>
          <w:rFonts w:ascii="Verdana" w:hAnsi="Verdana"/>
          <w:sz w:val="17"/>
          <w:szCs w:val="17"/>
        </w:rPr>
      </w:pPr>
      <w:r>
        <w:rPr>
          <w:rFonts w:ascii="Verdana" w:hAnsi="Verdana"/>
          <w:sz w:val="17"/>
          <w:szCs w:val="17"/>
        </w:rPr>
        <w:t>Generating equivalent P- and Q-scenarios.</w:t>
      </w:r>
    </w:p>
    <w:p w14:paraId="74D4CB55" w14:textId="77777777" w:rsidR="000563E1" w:rsidRDefault="000563E1" w:rsidP="000563E1">
      <w:pPr>
        <w:spacing w:line="227" w:lineRule="atLeast"/>
        <w:rPr>
          <w:rFonts w:ascii="Verdana" w:hAnsi="Verdana"/>
          <w:sz w:val="17"/>
          <w:szCs w:val="17"/>
        </w:rPr>
      </w:pPr>
      <w:r>
        <w:rPr>
          <w:rFonts w:ascii="Verdana" w:hAnsi="Verdana"/>
          <w:sz w:val="17"/>
          <w:szCs w:val="17"/>
        </w:rPr>
        <w:t>The introduction of the new pension law necessitates a transition from the old system, involving the transfer of approximately 1500 billion EUR. Decision-making heavily relies on scenario-calculations mandated by law, highlighting the importance of the models generating these scenarios.</w:t>
      </w:r>
    </w:p>
    <w:p w14:paraId="22897CD5" w14:textId="06179970" w:rsidR="000563E1" w:rsidRDefault="000563E1" w:rsidP="000563E1">
      <w:pPr>
        <w:spacing w:line="227" w:lineRule="atLeast"/>
        <w:rPr>
          <w:rFonts w:ascii="Verdana" w:hAnsi="Verdana"/>
          <w:sz w:val="17"/>
          <w:szCs w:val="17"/>
        </w:rPr>
      </w:pPr>
      <w:r>
        <w:rPr>
          <w:rFonts w:ascii="Verdana" w:hAnsi="Verdana"/>
          <w:sz w:val="17"/>
          <w:szCs w:val="17"/>
        </w:rPr>
        <w:t>CP 2022 was designed to be affine, which is an important property that allows for tractability in many ways. During calibration, option prices are computed under the dynamics stated by CP 2022 by using Monte Carlo, which is time-consuming. There exist alternative methods in the literature which use the affinity property to derive the characteristic function. Using this property, options can be priced using Fourier inversion techniques [4][5][6] that are faster than Monte Carlo. This could accelerate the calibration process by a significant margin. A faster calibration implies the following advantages:</w:t>
      </w:r>
    </w:p>
    <w:p w14:paraId="0F86C216" w14:textId="77777777" w:rsidR="000563E1" w:rsidRDefault="000563E1" w:rsidP="000563E1">
      <w:pPr>
        <w:pStyle w:val="Lijstalinea"/>
        <w:numPr>
          <w:ilvl w:val="0"/>
          <w:numId w:val="2"/>
        </w:numPr>
        <w:spacing w:line="227" w:lineRule="atLeast"/>
        <w:rPr>
          <w:rFonts w:ascii="Verdana" w:hAnsi="Verdana"/>
          <w:sz w:val="17"/>
          <w:szCs w:val="17"/>
        </w:rPr>
      </w:pPr>
      <w:r>
        <w:rPr>
          <w:rFonts w:ascii="Verdana" w:hAnsi="Verdana"/>
          <w:sz w:val="17"/>
          <w:szCs w:val="17"/>
        </w:rPr>
        <w:t>The scenarios can be published online at an earlier date. At the moment the scenarios are typically published online in the second week of each quarter. It would be beneficial for pension funds to have quicker access to the scenarios for a smoother decision making process.</w:t>
      </w:r>
    </w:p>
    <w:p w14:paraId="3FD07D24" w14:textId="77777777" w:rsidR="000563E1" w:rsidRDefault="000563E1" w:rsidP="000563E1">
      <w:pPr>
        <w:pStyle w:val="Lijstalinea"/>
        <w:numPr>
          <w:ilvl w:val="0"/>
          <w:numId w:val="2"/>
        </w:numPr>
        <w:spacing w:line="227" w:lineRule="atLeast"/>
        <w:rPr>
          <w:rFonts w:ascii="Verdana" w:hAnsi="Verdana"/>
          <w:sz w:val="17"/>
          <w:szCs w:val="17"/>
        </w:rPr>
      </w:pPr>
      <w:r>
        <w:rPr>
          <w:rFonts w:ascii="Verdana" w:hAnsi="Verdana"/>
          <w:sz w:val="17"/>
          <w:szCs w:val="17"/>
        </w:rPr>
        <w:t>With a faster calibration there is more time left to improve accuracy of the estimations.</w:t>
      </w:r>
    </w:p>
    <w:p w14:paraId="3C5D9BEE" w14:textId="77777777" w:rsidR="000563E1" w:rsidRDefault="000563E1" w:rsidP="000563E1">
      <w:pPr>
        <w:pStyle w:val="Lijstalinea"/>
        <w:numPr>
          <w:ilvl w:val="0"/>
          <w:numId w:val="2"/>
        </w:numPr>
        <w:spacing w:line="227" w:lineRule="atLeast"/>
        <w:rPr>
          <w:rFonts w:ascii="Verdana" w:hAnsi="Verdana"/>
          <w:sz w:val="17"/>
          <w:szCs w:val="17"/>
        </w:rPr>
      </w:pPr>
      <w:r>
        <w:rPr>
          <w:rFonts w:ascii="Verdana" w:hAnsi="Verdana"/>
          <w:sz w:val="17"/>
          <w:szCs w:val="17"/>
        </w:rPr>
        <w:t>Quick calibration allows policymakers to rapidly test and implement policy changes.</w:t>
      </w:r>
    </w:p>
    <w:p w14:paraId="767173EE" w14:textId="77777777" w:rsidR="00945280" w:rsidRDefault="000563E1" w:rsidP="000563E1">
      <w:pPr>
        <w:spacing w:line="227" w:lineRule="atLeast"/>
        <w:rPr>
          <w:rFonts w:ascii="Verdana" w:hAnsi="Verdana"/>
          <w:sz w:val="17"/>
          <w:szCs w:val="17"/>
        </w:rPr>
      </w:pPr>
      <w:r>
        <w:rPr>
          <w:rFonts w:ascii="Verdana" w:hAnsi="Verdana"/>
          <w:sz w:val="17"/>
          <w:szCs w:val="17"/>
        </w:rPr>
        <w:t>For academia, it is of great benefit to publish one of the first literature on a newly developed model, improve the model using existing methods and research new methods for fast option valuation.</w:t>
      </w:r>
      <w:r w:rsidR="00945280">
        <w:rPr>
          <w:rFonts w:ascii="Verdana" w:hAnsi="Verdana"/>
          <w:sz w:val="17"/>
          <w:szCs w:val="17"/>
        </w:rPr>
        <w:t xml:space="preserve"> </w:t>
      </w:r>
    </w:p>
    <w:p w14:paraId="6E33C8BC" w14:textId="79796479" w:rsidR="000563E1" w:rsidRDefault="000563E1" w:rsidP="000563E1">
      <w:pPr>
        <w:spacing w:line="227" w:lineRule="atLeast"/>
        <w:rPr>
          <w:rFonts w:ascii="Verdana" w:hAnsi="Verdana"/>
          <w:sz w:val="17"/>
          <w:szCs w:val="17"/>
        </w:rPr>
      </w:pPr>
      <w:r>
        <w:rPr>
          <w:rFonts w:ascii="Verdana" w:hAnsi="Verdana"/>
          <w:sz w:val="17"/>
          <w:szCs w:val="17"/>
        </w:rPr>
        <w:t>The research question entails: Can the COS method outperform the Monte Carlo method in the CP 2022 model?</w:t>
      </w:r>
    </w:p>
    <w:p w14:paraId="53A8B4E1" w14:textId="77777777" w:rsidR="000563E1" w:rsidRDefault="000563E1" w:rsidP="000563E1">
      <w:pPr>
        <w:spacing w:line="227" w:lineRule="atLeast"/>
        <w:rPr>
          <w:rFonts w:ascii="Verdana" w:hAnsi="Verdana"/>
          <w:sz w:val="17"/>
          <w:szCs w:val="17"/>
        </w:rPr>
      </w:pPr>
      <w:r>
        <w:rPr>
          <w:rFonts w:ascii="Verdana" w:hAnsi="Verdana"/>
          <w:sz w:val="17"/>
          <w:szCs w:val="17"/>
        </w:rPr>
        <w:t xml:space="preserve">Hypothesis: The COS method is computationally more efficient and thus faster than Monte Carlo for valuing options. Per optimization step during calibration, we compare the option prices and computation times from the Monte Carlo method (which is the benchmark method) and the COS method. </w:t>
      </w:r>
    </w:p>
    <w:p w14:paraId="43F3B2C1" w14:textId="79EA83FD" w:rsidR="006E28A3" w:rsidRDefault="0037486E" w:rsidP="006E28A3">
      <w:pPr>
        <w:spacing w:line="227" w:lineRule="atLeast"/>
        <w:rPr>
          <w:rFonts w:ascii="Verdana" w:hAnsi="Verdana"/>
          <w:sz w:val="17"/>
          <w:szCs w:val="17"/>
        </w:rPr>
      </w:pPr>
      <w:r>
        <w:rPr>
          <w:rFonts w:ascii="Verdana" w:hAnsi="Verdana"/>
          <w:sz w:val="17"/>
          <w:szCs w:val="17"/>
        </w:rPr>
        <w:t xml:space="preserve">We divide the research question </w:t>
      </w:r>
      <w:r w:rsidR="006E28A3">
        <w:rPr>
          <w:rFonts w:ascii="Verdana" w:hAnsi="Verdana"/>
          <w:sz w:val="17"/>
          <w:szCs w:val="17"/>
        </w:rPr>
        <w:t xml:space="preserve">into </w:t>
      </w:r>
      <w:r w:rsidR="00412CB1">
        <w:rPr>
          <w:rFonts w:ascii="Verdana" w:hAnsi="Verdana"/>
          <w:sz w:val="17"/>
          <w:szCs w:val="17"/>
        </w:rPr>
        <w:t>2</w:t>
      </w:r>
      <w:r w:rsidR="006E28A3">
        <w:rPr>
          <w:rFonts w:ascii="Verdana" w:hAnsi="Verdana"/>
          <w:sz w:val="17"/>
          <w:szCs w:val="17"/>
        </w:rPr>
        <w:t xml:space="preserve"> </w:t>
      </w:r>
      <w:r w:rsidR="009038E9">
        <w:rPr>
          <w:rFonts w:ascii="Verdana" w:hAnsi="Verdana"/>
          <w:sz w:val="17"/>
          <w:szCs w:val="17"/>
        </w:rPr>
        <w:t xml:space="preserve">parts: </w:t>
      </w:r>
      <w:r w:rsidR="00E01E57">
        <w:rPr>
          <w:rFonts w:ascii="Verdana" w:hAnsi="Verdana"/>
          <w:sz w:val="17"/>
          <w:szCs w:val="17"/>
        </w:rPr>
        <w:t>evaluating European style options and path-dependent options.</w:t>
      </w:r>
    </w:p>
    <w:p w14:paraId="258CB43E" w14:textId="7A37E454" w:rsidR="006E28A3" w:rsidRDefault="003D4715" w:rsidP="006E28A3">
      <w:pPr>
        <w:pStyle w:val="Lijstalinea"/>
        <w:numPr>
          <w:ilvl w:val="0"/>
          <w:numId w:val="5"/>
        </w:numPr>
        <w:spacing w:line="227" w:lineRule="atLeast"/>
        <w:rPr>
          <w:rFonts w:ascii="Verdana" w:hAnsi="Verdana"/>
          <w:sz w:val="17"/>
          <w:szCs w:val="17"/>
        </w:rPr>
      </w:pPr>
      <w:r>
        <w:rPr>
          <w:rFonts w:ascii="Verdana" w:hAnsi="Verdana"/>
          <w:sz w:val="17"/>
          <w:szCs w:val="17"/>
        </w:rPr>
        <w:t xml:space="preserve">Can the COS method outperform the Monte Carlo method in the CP 2022 model in evaluating </w:t>
      </w:r>
      <w:r w:rsidR="00412CB1">
        <w:rPr>
          <w:rFonts w:ascii="Verdana" w:hAnsi="Verdana"/>
          <w:sz w:val="17"/>
          <w:szCs w:val="17"/>
        </w:rPr>
        <w:t>European style options?</w:t>
      </w:r>
    </w:p>
    <w:p w14:paraId="5393B26F" w14:textId="77777777" w:rsidR="00C73D04" w:rsidRDefault="00C73D04" w:rsidP="00C73D04">
      <w:pPr>
        <w:spacing w:line="227" w:lineRule="atLeast"/>
        <w:rPr>
          <w:rFonts w:ascii="Verdana" w:hAnsi="Verdana"/>
          <w:sz w:val="17"/>
          <w:szCs w:val="17"/>
        </w:rPr>
      </w:pPr>
    </w:p>
    <w:p w14:paraId="4DAB9E41" w14:textId="77777777" w:rsidR="00C73D04" w:rsidRDefault="00C73D04" w:rsidP="00C73D04">
      <w:pPr>
        <w:spacing w:line="227" w:lineRule="atLeast"/>
        <w:rPr>
          <w:rFonts w:ascii="Verdana" w:hAnsi="Verdana"/>
          <w:sz w:val="17"/>
          <w:szCs w:val="17"/>
        </w:rPr>
      </w:pPr>
    </w:p>
    <w:p w14:paraId="39D1C002" w14:textId="2D2AC5EF" w:rsidR="00412CB1" w:rsidRDefault="00412CB1" w:rsidP="00412CB1">
      <w:pPr>
        <w:pStyle w:val="Lijstalinea"/>
        <w:numPr>
          <w:ilvl w:val="0"/>
          <w:numId w:val="5"/>
        </w:numPr>
        <w:spacing w:line="227" w:lineRule="atLeast"/>
        <w:rPr>
          <w:rFonts w:ascii="Verdana" w:hAnsi="Verdana"/>
          <w:sz w:val="17"/>
          <w:szCs w:val="17"/>
        </w:rPr>
      </w:pPr>
      <w:r>
        <w:rPr>
          <w:rFonts w:ascii="Verdana" w:hAnsi="Verdana"/>
          <w:sz w:val="17"/>
          <w:szCs w:val="17"/>
        </w:rPr>
        <w:lastRenderedPageBreak/>
        <w:t>Can the COS method outperform the Monte Carlo method in the CP 2022 model in evaluating</w:t>
      </w:r>
      <w:r w:rsidR="00ED0886">
        <w:rPr>
          <w:rFonts w:ascii="Verdana" w:hAnsi="Verdana"/>
          <w:sz w:val="17"/>
          <w:szCs w:val="17"/>
        </w:rPr>
        <w:t xml:space="preserve"> the</w:t>
      </w:r>
      <w:r>
        <w:rPr>
          <w:rFonts w:ascii="Verdana" w:hAnsi="Verdana"/>
          <w:sz w:val="17"/>
          <w:szCs w:val="17"/>
        </w:rPr>
        <w:t xml:space="preserve"> path-dependent options</w:t>
      </w:r>
      <w:r w:rsidR="00C73D04">
        <w:rPr>
          <w:rFonts w:ascii="Verdana" w:hAnsi="Verdana"/>
          <w:sz w:val="17"/>
          <w:szCs w:val="17"/>
        </w:rPr>
        <w:t>: swaptions and</w:t>
      </w:r>
      <w:r w:rsidR="008D7E17">
        <w:rPr>
          <w:rFonts w:ascii="Verdana" w:hAnsi="Verdana"/>
          <w:sz w:val="17"/>
          <w:szCs w:val="17"/>
        </w:rPr>
        <w:t>/or</w:t>
      </w:r>
      <w:r w:rsidR="00C73D04">
        <w:rPr>
          <w:rFonts w:ascii="Verdana" w:hAnsi="Verdana"/>
          <w:sz w:val="17"/>
          <w:szCs w:val="17"/>
        </w:rPr>
        <w:t xml:space="preserve"> year-on-year inflation caps and floors</w:t>
      </w:r>
      <w:r>
        <w:rPr>
          <w:rFonts w:ascii="Verdana" w:hAnsi="Verdana"/>
          <w:sz w:val="17"/>
          <w:szCs w:val="17"/>
        </w:rPr>
        <w:t>?</w:t>
      </w:r>
    </w:p>
    <w:p w14:paraId="188C8B80" w14:textId="77777777" w:rsidR="00412CB1" w:rsidRPr="006E28A3" w:rsidRDefault="00412CB1" w:rsidP="00412CB1">
      <w:pPr>
        <w:pStyle w:val="Lijstalinea"/>
        <w:spacing w:line="227" w:lineRule="atLeast"/>
        <w:rPr>
          <w:rFonts w:ascii="Verdana" w:hAnsi="Verdana"/>
          <w:sz w:val="17"/>
          <w:szCs w:val="17"/>
        </w:rPr>
      </w:pPr>
    </w:p>
    <w:p w14:paraId="5084ABEB" w14:textId="3E450067" w:rsidR="000809D4" w:rsidRDefault="000A630A" w:rsidP="000563E1">
      <w:pPr>
        <w:spacing w:line="227" w:lineRule="atLeast"/>
        <w:rPr>
          <w:rFonts w:ascii="Verdana" w:hAnsi="Verdana"/>
          <w:sz w:val="17"/>
          <w:szCs w:val="17"/>
        </w:rPr>
      </w:pPr>
      <w:r>
        <w:rPr>
          <w:rFonts w:ascii="Verdana" w:hAnsi="Verdana"/>
          <w:sz w:val="17"/>
          <w:szCs w:val="17"/>
        </w:rPr>
        <w:t xml:space="preserve">The COS method is already proven to be superior than Monte Carlo </w:t>
      </w:r>
      <w:r w:rsidR="004F32B8">
        <w:rPr>
          <w:rFonts w:ascii="Verdana" w:hAnsi="Verdana"/>
          <w:sz w:val="17"/>
          <w:szCs w:val="17"/>
        </w:rPr>
        <w:t>in evaluating European style options</w:t>
      </w:r>
      <w:r w:rsidR="00552E4F">
        <w:rPr>
          <w:rFonts w:ascii="Verdana" w:hAnsi="Verdana"/>
          <w:sz w:val="17"/>
          <w:szCs w:val="17"/>
        </w:rPr>
        <w:t xml:space="preserve"> [6]</w:t>
      </w:r>
      <w:r w:rsidR="001A3CEA">
        <w:rPr>
          <w:rFonts w:ascii="Verdana" w:hAnsi="Verdana"/>
          <w:sz w:val="17"/>
          <w:szCs w:val="17"/>
        </w:rPr>
        <w:t xml:space="preserve">. </w:t>
      </w:r>
      <w:r w:rsidR="00DD40D0">
        <w:rPr>
          <w:rFonts w:ascii="Verdana" w:hAnsi="Verdana"/>
          <w:sz w:val="17"/>
          <w:szCs w:val="17"/>
        </w:rPr>
        <w:t>In these cases the Fourier coefficients are analytically available.</w:t>
      </w:r>
      <w:r w:rsidR="00603734">
        <w:rPr>
          <w:rFonts w:ascii="Verdana" w:hAnsi="Verdana"/>
          <w:sz w:val="17"/>
          <w:szCs w:val="17"/>
        </w:rPr>
        <w:t xml:space="preserve"> We generalize the </w:t>
      </w:r>
      <w:r w:rsidR="005766F8">
        <w:rPr>
          <w:rFonts w:ascii="Verdana" w:hAnsi="Verdana"/>
          <w:sz w:val="17"/>
          <w:szCs w:val="17"/>
        </w:rPr>
        <w:t>COS method to evaluate option prices when the interest rates are stochastic</w:t>
      </w:r>
      <w:r w:rsidR="0036159F">
        <w:rPr>
          <w:rFonts w:ascii="Verdana" w:hAnsi="Verdana"/>
          <w:sz w:val="17"/>
          <w:szCs w:val="17"/>
        </w:rPr>
        <w:t xml:space="preserve"> </w:t>
      </w:r>
      <w:r w:rsidR="005D1CD9">
        <w:rPr>
          <w:rFonts w:ascii="Verdana" w:hAnsi="Verdana"/>
          <w:sz w:val="17"/>
          <w:szCs w:val="17"/>
        </w:rPr>
        <w:t>in the CP 2022 model.</w:t>
      </w:r>
    </w:p>
    <w:p w14:paraId="70B30172" w14:textId="7AB11F92" w:rsidR="00BD06B7" w:rsidRPr="004B08F9" w:rsidRDefault="004A089B" w:rsidP="000563E1">
      <w:pPr>
        <w:spacing w:line="227" w:lineRule="atLeast"/>
        <w:rPr>
          <w:rFonts w:ascii="Verdana" w:hAnsi="Verdana"/>
          <w:sz w:val="17"/>
          <w:szCs w:val="17"/>
        </w:rPr>
      </w:pPr>
      <w:r>
        <w:rPr>
          <w:rFonts w:ascii="Verdana" w:hAnsi="Verdana"/>
          <w:sz w:val="17"/>
          <w:szCs w:val="17"/>
        </w:rPr>
        <w:t>The second part is much more involved</w:t>
      </w:r>
      <w:r w:rsidR="00770195">
        <w:rPr>
          <w:rFonts w:ascii="Verdana" w:hAnsi="Verdana"/>
          <w:sz w:val="17"/>
          <w:szCs w:val="17"/>
        </w:rPr>
        <w:t xml:space="preserve"> </w:t>
      </w:r>
      <w:r w:rsidR="0085571A">
        <w:rPr>
          <w:rFonts w:ascii="Verdana" w:hAnsi="Verdana"/>
          <w:sz w:val="17"/>
          <w:szCs w:val="17"/>
        </w:rPr>
        <w:t>in the CP2022 model</w:t>
      </w:r>
      <w:r w:rsidR="00743C76">
        <w:rPr>
          <w:rFonts w:ascii="Verdana" w:hAnsi="Verdana"/>
          <w:sz w:val="17"/>
          <w:szCs w:val="17"/>
        </w:rPr>
        <w:t xml:space="preserve"> and is an open question for research</w:t>
      </w:r>
      <w:r w:rsidR="00290604">
        <w:rPr>
          <w:rFonts w:ascii="Verdana" w:hAnsi="Verdana"/>
          <w:sz w:val="17"/>
          <w:szCs w:val="17"/>
        </w:rPr>
        <w:t xml:space="preserve">. </w:t>
      </w:r>
      <w:r w:rsidR="00974A8B">
        <w:rPr>
          <w:rFonts w:ascii="Verdana" w:hAnsi="Verdana"/>
          <w:sz w:val="17"/>
          <w:szCs w:val="17"/>
        </w:rPr>
        <w:t xml:space="preserve">In this case Fourier coefficients need to be calculated numerically </w:t>
      </w:r>
      <w:r w:rsidR="006E1053">
        <w:rPr>
          <w:rFonts w:ascii="Verdana" w:hAnsi="Verdana"/>
          <w:sz w:val="17"/>
          <w:szCs w:val="17"/>
        </w:rPr>
        <w:t xml:space="preserve">at each step and </w:t>
      </w:r>
      <w:r w:rsidR="00ED4278">
        <w:rPr>
          <w:rFonts w:ascii="Verdana" w:hAnsi="Verdana"/>
          <w:sz w:val="17"/>
          <w:szCs w:val="17"/>
        </w:rPr>
        <w:t>we thus run</w:t>
      </w:r>
      <w:r w:rsidR="007D66AA">
        <w:rPr>
          <w:rFonts w:ascii="Verdana" w:hAnsi="Verdana"/>
          <w:sz w:val="17"/>
          <w:szCs w:val="17"/>
        </w:rPr>
        <w:t xml:space="preserve"> into the curse of dimensionality.</w:t>
      </w:r>
      <w:r w:rsidR="005D1CD9">
        <w:rPr>
          <w:rFonts w:ascii="Verdana" w:hAnsi="Verdana"/>
          <w:sz w:val="17"/>
          <w:szCs w:val="17"/>
        </w:rPr>
        <w:t xml:space="preserve"> </w:t>
      </w:r>
      <w:r w:rsidR="00726016">
        <w:rPr>
          <w:rFonts w:ascii="Verdana" w:hAnsi="Verdana"/>
          <w:sz w:val="17"/>
          <w:szCs w:val="17"/>
        </w:rPr>
        <w:t>In this case it is not</w:t>
      </w:r>
      <w:r w:rsidR="00DC7AC3" w:rsidRPr="004B08F9">
        <w:rPr>
          <w:rFonts w:ascii="Verdana" w:hAnsi="Verdana" w:hint="eastAsia"/>
          <w:sz w:val="17"/>
          <w:szCs w:val="17"/>
        </w:rPr>
        <w:t xml:space="preserve"> immediately</w:t>
      </w:r>
      <w:r w:rsidR="00726016">
        <w:rPr>
          <w:rFonts w:ascii="Verdana" w:hAnsi="Verdana"/>
          <w:sz w:val="17"/>
          <w:szCs w:val="17"/>
        </w:rPr>
        <w:t xml:space="preserve"> clear which method is computationally more efficient</w:t>
      </w:r>
      <w:r w:rsidR="00DC7AC3" w:rsidRPr="004B08F9">
        <w:rPr>
          <w:rFonts w:ascii="Verdana" w:hAnsi="Verdana" w:hint="eastAsia"/>
          <w:sz w:val="17"/>
          <w:szCs w:val="17"/>
        </w:rPr>
        <w:t>, although</w:t>
      </w:r>
      <w:r w:rsidR="0094530B" w:rsidRPr="004B08F9">
        <w:rPr>
          <w:rFonts w:ascii="Verdana" w:hAnsi="Verdana" w:hint="eastAsia"/>
          <w:sz w:val="17"/>
          <w:szCs w:val="17"/>
        </w:rPr>
        <w:t xml:space="preserve">, </w:t>
      </w:r>
      <w:r w:rsidR="006122B0" w:rsidRPr="004B08F9">
        <w:rPr>
          <w:rFonts w:ascii="Verdana" w:hAnsi="Verdana" w:hint="eastAsia"/>
          <w:sz w:val="17"/>
          <w:szCs w:val="17"/>
        </w:rPr>
        <w:t>based on the results in [</w:t>
      </w:r>
      <w:r w:rsidR="006122B0" w:rsidRPr="004B08F9">
        <w:rPr>
          <w:rFonts w:ascii="Verdana" w:hAnsi="Verdana"/>
          <w:sz w:val="17"/>
          <w:szCs w:val="17"/>
        </w:rPr>
        <w:fldChar w:fldCharType="begin"/>
      </w:r>
      <w:r w:rsidR="006122B0" w:rsidRPr="004B08F9">
        <w:rPr>
          <w:rFonts w:ascii="Verdana" w:hAnsi="Verdana"/>
          <w:sz w:val="17"/>
          <w:szCs w:val="17"/>
        </w:rPr>
        <w:instrText xml:space="preserve"> </w:instrText>
      </w:r>
      <w:r w:rsidR="006122B0" w:rsidRPr="004B08F9">
        <w:rPr>
          <w:rFonts w:ascii="Verdana" w:hAnsi="Verdana" w:hint="eastAsia"/>
          <w:sz w:val="17"/>
          <w:szCs w:val="17"/>
        </w:rPr>
        <w:instrText>REF _Ref171245266 \r \h</w:instrText>
      </w:r>
      <w:r w:rsidR="006122B0" w:rsidRPr="004B08F9">
        <w:rPr>
          <w:rFonts w:ascii="Verdana" w:hAnsi="Verdana"/>
          <w:sz w:val="17"/>
          <w:szCs w:val="17"/>
        </w:rPr>
        <w:instrText xml:space="preserve"> </w:instrText>
      </w:r>
      <w:r w:rsidR="006122B0" w:rsidRPr="004B08F9">
        <w:rPr>
          <w:rFonts w:ascii="Verdana" w:hAnsi="Verdana"/>
          <w:sz w:val="17"/>
          <w:szCs w:val="17"/>
        </w:rPr>
      </w:r>
      <w:r w:rsidR="004B08F9">
        <w:rPr>
          <w:rFonts w:ascii="Verdana" w:hAnsi="Verdana"/>
          <w:sz w:val="17"/>
          <w:szCs w:val="17"/>
        </w:rPr>
        <w:instrText xml:space="preserve"> \* MERGEFORMAT </w:instrText>
      </w:r>
      <w:r w:rsidR="006122B0" w:rsidRPr="004B08F9">
        <w:rPr>
          <w:rFonts w:ascii="Verdana" w:hAnsi="Verdana"/>
          <w:sz w:val="17"/>
          <w:szCs w:val="17"/>
        </w:rPr>
        <w:fldChar w:fldCharType="separate"/>
      </w:r>
      <w:r w:rsidR="006122B0" w:rsidRPr="004B08F9">
        <w:rPr>
          <w:rFonts w:ascii="Verdana" w:hAnsi="Verdana"/>
          <w:sz w:val="17"/>
          <w:szCs w:val="17"/>
        </w:rPr>
        <w:t>7</w:t>
      </w:r>
      <w:r w:rsidR="006122B0" w:rsidRPr="004B08F9">
        <w:rPr>
          <w:rFonts w:ascii="Verdana" w:hAnsi="Verdana"/>
          <w:sz w:val="17"/>
          <w:szCs w:val="17"/>
        </w:rPr>
        <w:fldChar w:fldCharType="end"/>
      </w:r>
      <w:r w:rsidR="006122B0" w:rsidRPr="004B08F9">
        <w:rPr>
          <w:rFonts w:ascii="Verdana" w:hAnsi="Verdana" w:hint="eastAsia"/>
          <w:sz w:val="17"/>
          <w:szCs w:val="17"/>
        </w:rPr>
        <w:t>]</w:t>
      </w:r>
      <w:r w:rsidR="0094530B" w:rsidRPr="004B08F9">
        <w:rPr>
          <w:rFonts w:ascii="Verdana" w:hAnsi="Verdana" w:hint="eastAsia"/>
          <w:sz w:val="17"/>
          <w:szCs w:val="17"/>
        </w:rPr>
        <w:t>,</w:t>
      </w:r>
      <w:r w:rsidR="006122B0" w:rsidRPr="004B08F9">
        <w:rPr>
          <w:rFonts w:ascii="Verdana" w:hAnsi="Verdana" w:hint="eastAsia"/>
          <w:sz w:val="17"/>
          <w:szCs w:val="17"/>
        </w:rPr>
        <w:t xml:space="preserve"> the</w:t>
      </w:r>
      <w:r w:rsidR="0094530B" w:rsidRPr="004B08F9">
        <w:rPr>
          <w:rFonts w:ascii="Verdana" w:hAnsi="Verdana" w:hint="eastAsia"/>
          <w:sz w:val="17"/>
          <w:szCs w:val="17"/>
        </w:rPr>
        <w:t xml:space="preserve"> COS </w:t>
      </w:r>
      <w:r w:rsidR="006122B0" w:rsidRPr="004B08F9">
        <w:rPr>
          <w:rFonts w:ascii="Verdana" w:hAnsi="Verdana" w:hint="eastAsia"/>
          <w:sz w:val="17"/>
          <w:szCs w:val="17"/>
        </w:rPr>
        <w:t xml:space="preserve">method is </w:t>
      </w:r>
      <w:r w:rsidR="006122B0" w:rsidRPr="004B08F9">
        <w:rPr>
          <w:rFonts w:ascii="Verdana" w:hAnsi="Verdana"/>
          <w:sz w:val="17"/>
          <w:szCs w:val="17"/>
        </w:rPr>
        <w:t>expected</w:t>
      </w:r>
      <w:r w:rsidR="006122B0" w:rsidRPr="004B08F9">
        <w:rPr>
          <w:rFonts w:ascii="Verdana" w:hAnsi="Verdana" w:hint="eastAsia"/>
          <w:sz w:val="17"/>
          <w:szCs w:val="17"/>
        </w:rPr>
        <w:t xml:space="preserve"> </w:t>
      </w:r>
      <w:r w:rsidR="0094530B" w:rsidRPr="004B08F9">
        <w:rPr>
          <w:rFonts w:ascii="Verdana" w:hAnsi="Verdana" w:hint="eastAsia"/>
          <w:sz w:val="17"/>
          <w:szCs w:val="17"/>
        </w:rPr>
        <w:t xml:space="preserve">to be </w:t>
      </w:r>
      <w:r w:rsidR="001927AD" w:rsidRPr="004B08F9">
        <w:rPr>
          <w:rFonts w:ascii="Verdana" w:hAnsi="Verdana" w:hint="eastAsia"/>
          <w:sz w:val="17"/>
          <w:szCs w:val="17"/>
        </w:rPr>
        <w:t>more efficient</w:t>
      </w:r>
      <w:r w:rsidR="006122B0" w:rsidRPr="004B08F9">
        <w:rPr>
          <w:rFonts w:ascii="Verdana" w:hAnsi="Verdana" w:hint="eastAsia"/>
          <w:sz w:val="17"/>
          <w:szCs w:val="17"/>
        </w:rPr>
        <w:t xml:space="preserve"> than Monte Carlo simulation </w:t>
      </w:r>
      <w:r w:rsidR="007451FE" w:rsidRPr="004B08F9">
        <w:rPr>
          <w:rFonts w:ascii="Verdana" w:hAnsi="Verdana" w:hint="eastAsia"/>
          <w:sz w:val="17"/>
          <w:szCs w:val="17"/>
        </w:rPr>
        <w:t>for path-dependent options</w:t>
      </w:r>
      <w:r w:rsidR="00726016">
        <w:rPr>
          <w:rFonts w:ascii="Verdana" w:hAnsi="Verdana"/>
          <w:sz w:val="17"/>
          <w:szCs w:val="17"/>
        </w:rPr>
        <w:t>.</w:t>
      </w:r>
      <w:r w:rsidR="005D1CD9">
        <w:rPr>
          <w:rFonts w:ascii="Verdana" w:hAnsi="Verdana"/>
          <w:sz w:val="17"/>
          <w:szCs w:val="17"/>
        </w:rPr>
        <w:t xml:space="preserve"> </w:t>
      </w:r>
      <w:r w:rsidR="005D1CD9">
        <w:rPr>
          <w:rFonts w:ascii="Verdana" w:hAnsi="Verdana"/>
          <w:sz w:val="17"/>
          <w:szCs w:val="17"/>
        </w:rPr>
        <w:t xml:space="preserve">Or a different approach </w:t>
      </w:r>
      <w:r w:rsidR="005D1CD9">
        <w:rPr>
          <w:rFonts w:ascii="Verdana" w:hAnsi="Verdana"/>
          <w:sz w:val="17"/>
          <w:szCs w:val="17"/>
        </w:rPr>
        <w:t>can be used, such as deriving the for</w:t>
      </w:r>
      <w:r w:rsidR="008D7E17">
        <w:rPr>
          <w:rFonts w:ascii="Verdana" w:hAnsi="Verdana"/>
          <w:sz w:val="17"/>
          <w:szCs w:val="17"/>
        </w:rPr>
        <w:t>ward characteristic function and us</w:t>
      </w:r>
      <w:r w:rsidR="003F03AA">
        <w:rPr>
          <w:rFonts w:ascii="Verdana" w:hAnsi="Verdana"/>
          <w:sz w:val="17"/>
          <w:szCs w:val="17"/>
        </w:rPr>
        <w:t>ing</w:t>
      </w:r>
      <w:r w:rsidR="008D7E17">
        <w:rPr>
          <w:rFonts w:ascii="Verdana" w:hAnsi="Verdana"/>
          <w:sz w:val="17"/>
          <w:szCs w:val="17"/>
        </w:rPr>
        <w:t xml:space="preserve"> the COS method </w:t>
      </w:r>
      <w:r w:rsidR="003F03AA">
        <w:rPr>
          <w:rFonts w:ascii="Verdana" w:hAnsi="Verdana"/>
          <w:sz w:val="17"/>
          <w:szCs w:val="17"/>
        </w:rPr>
        <w:t>under a different</w:t>
      </w:r>
      <w:r w:rsidR="008D7E17">
        <w:rPr>
          <w:rFonts w:ascii="Verdana" w:hAnsi="Verdana"/>
          <w:sz w:val="17"/>
          <w:szCs w:val="17"/>
        </w:rPr>
        <w:t xml:space="preserve"> measure.</w:t>
      </w:r>
      <w:r w:rsidR="00726016">
        <w:rPr>
          <w:rFonts w:ascii="Verdana" w:hAnsi="Verdana"/>
          <w:sz w:val="17"/>
          <w:szCs w:val="17"/>
        </w:rPr>
        <w:t xml:space="preserve"> </w:t>
      </w:r>
      <w:r w:rsidR="007451FE" w:rsidRPr="004B08F9">
        <w:rPr>
          <w:rFonts w:ascii="Verdana" w:hAnsi="Verdana" w:hint="eastAsia"/>
          <w:sz w:val="17"/>
          <w:szCs w:val="17"/>
        </w:rPr>
        <w:t xml:space="preserve">It will be </w:t>
      </w:r>
      <w:r w:rsidR="003F03AA" w:rsidRPr="004B08F9">
        <w:rPr>
          <w:rFonts w:ascii="Verdana" w:hAnsi="Verdana"/>
          <w:sz w:val="17"/>
          <w:szCs w:val="17"/>
        </w:rPr>
        <w:t>a major</w:t>
      </w:r>
      <w:r w:rsidR="007451FE" w:rsidRPr="004B08F9">
        <w:rPr>
          <w:rFonts w:ascii="Verdana" w:hAnsi="Verdana" w:hint="eastAsia"/>
          <w:sz w:val="17"/>
          <w:szCs w:val="17"/>
        </w:rPr>
        <w:t xml:space="preserve"> contribution of this thesis to the </w:t>
      </w:r>
      <w:r w:rsidR="007451FE" w:rsidRPr="004B08F9">
        <w:rPr>
          <w:rFonts w:ascii="Verdana" w:hAnsi="Verdana"/>
          <w:sz w:val="17"/>
          <w:szCs w:val="17"/>
        </w:rPr>
        <w:t>existing</w:t>
      </w:r>
      <w:r w:rsidR="007451FE" w:rsidRPr="004B08F9">
        <w:rPr>
          <w:rFonts w:ascii="Verdana" w:hAnsi="Verdana" w:hint="eastAsia"/>
          <w:sz w:val="17"/>
          <w:szCs w:val="17"/>
        </w:rPr>
        <w:t xml:space="preserve"> literature to investigate and extend</w:t>
      </w:r>
      <w:r w:rsidR="009850E7" w:rsidRPr="004B08F9">
        <w:rPr>
          <w:rFonts w:ascii="Verdana" w:hAnsi="Verdana" w:hint="eastAsia"/>
          <w:sz w:val="17"/>
          <w:szCs w:val="17"/>
        </w:rPr>
        <w:t xml:space="preserve"> the COS method to </w:t>
      </w:r>
      <w:r w:rsidR="007451FE" w:rsidRPr="004B08F9">
        <w:rPr>
          <w:rFonts w:ascii="Verdana" w:hAnsi="Verdana" w:hint="eastAsia"/>
          <w:sz w:val="17"/>
          <w:szCs w:val="17"/>
        </w:rPr>
        <w:t xml:space="preserve">one or </w:t>
      </w:r>
      <w:r w:rsidR="003F03AA" w:rsidRPr="004B08F9">
        <w:rPr>
          <w:rFonts w:ascii="Verdana" w:hAnsi="Verdana" w:hint="eastAsia"/>
          <w:sz w:val="17"/>
          <w:szCs w:val="17"/>
        </w:rPr>
        <w:t>t</w:t>
      </w:r>
      <w:r w:rsidR="003F03AA" w:rsidRPr="004B08F9">
        <w:rPr>
          <w:rFonts w:ascii="Verdana" w:hAnsi="Verdana"/>
          <w:sz w:val="17"/>
          <w:szCs w:val="17"/>
        </w:rPr>
        <w:t>wo</w:t>
      </w:r>
      <w:r w:rsidR="003F03AA" w:rsidRPr="004B08F9">
        <w:rPr>
          <w:rFonts w:ascii="Verdana" w:hAnsi="Verdana" w:hint="eastAsia"/>
          <w:sz w:val="17"/>
          <w:szCs w:val="17"/>
        </w:rPr>
        <w:t xml:space="preserve"> </w:t>
      </w:r>
      <w:r w:rsidR="009850E7" w:rsidRPr="004B08F9">
        <w:rPr>
          <w:rFonts w:ascii="Verdana" w:hAnsi="Verdana" w:hint="eastAsia"/>
          <w:sz w:val="17"/>
          <w:szCs w:val="17"/>
        </w:rPr>
        <w:t>path-dependent options</w:t>
      </w:r>
      <w:r w:rsidR="001927AD" w:rsidRPr="004B08F9">
        <w:rPr>
          <w:rFonts w:ascii="Verdana" w:hAnsi="Verdana" w:hint="eastAsia"/>
          <w:sz w:val="17"/>
          <w:szCs w:val="17"/>
        </w:rPr>
        <w:t xml:space="preserve"> </w:t>
      </w:r>
      <w:r w:rsidR="007451FE" w:rsidRPr="004B08F9">
        <w:rPr>
          <w:rFonts w:ascii="Verdana" w:hAnsi="Verdana" w:hint="eastAsia"/>
          <w:sz w:val="17"/>
          <w:szCs w:val="17"/>
        </w:rPr>
        <w:t xml:space="preserve">used in the calibration </w:t>
      </w:r>
      <w:r w:rsidR="00FC68F1" w:rsidRPr="004B08F9">
        <w:rPr>
          <w:rFonts w:ascii="Verdana" w:hAnsi="Verdana" w:hint="eastAsia"/>
          <w:sz w:val="17"/>
          <w:szCs w:val="17"/>
        </w:rPr>
        <w:t>within the new pension framework.</w:t>
      </w:r>
      <w:r w:rsidR="007451FE" w:rsidRPr="004B08F9">
        <w:rPr>
          <w:rFonts w:ascii="Verdana" w:hAnsi="Verdana" w:hint="eastAsia"/>
          <w:sz w:val="17"/>
          <w:szCs w:val="17"/>
        </w:rPr>
        <w:t xml:space="preserve"> </w:t>
      </w:r>
    </w:p>
    <w:p w14:paraId="672CCBEC" w14:textId="339672FB" w:rsidR="00FD639F" w:rsidRDefault="004B08F9" w:rsidP="000563E1">
      <w:pPr>
        <w:spacing w:line="227" w:lineRule="atLeast"/>
        <w:rPr>
          <w:rFonts w:ascii="Verdana" w:hAnsi="Verdana"/>
          <w:sz w:val="17"/>
          <w:szCs w:val="17"/>
        </w:rPr>
      </w:pPr>
      <w:r>
        <w:rPr>
          <w:rFonts w:ascii="Verdana" w:hAnsi="Verdana"/>
          <w:sz w:val="17"/>
          <w:szCs w:val="17"/>
        </w:rPr>
        <w:t>We</w:t>
      </w:r>
      <w:r w:rsidR="000563E1">
        <w:rPr>
          <w:rFonts w:ascii="Verdana" w:hAnsi="Verdana"/>
          <w:sz w:val="17"/>
          <w:szCs w:val="17"/>
        </w:rPr>
        <w:t xml:space="preserve"> first</w:t>
      </w:r>
      <w:r w:rsidR="000262D4">
        <w:rPr>
          <w:rFonts w:ascii="Verdana" w:hAnsi="Verdana"/>
          <w:sz w:val="17"/>
          <w:szCs w:val="17"/>
        </w:rPr>
        <w:t xml:space="preserve"> start with a literature review and</w:t>
      </w:r>
      <w:r w:rsidR="000563E1">
        <w:rPr>
          <w:rFonts w:ascii="Verdana" w:hAnsi="Verdana"/>
          <w:sz w:val="17"/>
          <w:szCs w:val="17"/>
        </w:rPr>
        <w:t xml:space="preserve"> create documentation on the CP 2022 to make it more accessible and understandable to a wider audience. Then we implement and generalize the COS method for calculating </w:t>
      </w:r>
      <w:r w:rsidR="006371B4">
        <w:rPr>
          <w:rFonts w:ascii="Verdana" w:eastAsiaTheme="minorEastAsia" w:hAnsi="Verdana" w:hint="eastAsia"/>
          <w:sz w:val="17"/>
          <w:szCs w:val="17"/>
          <w:lang w:eastAsia="zh-CN"/>
        </w:rPr>
        <w:t xml:space="preserve">one or more </w:t>
      </w:r>
      <w:r w:rsidR="000563E1">
        <w:rPr>
          <w:rFonts w:ascii="Verdana" w:hAnsi="Verdana"/>
          <w:sz w:val="17"/>
          <w:szCs w:val="17"/>
        </w:rPr>
        <w:t>European</w:t>
      </w:r>
      <w:r w:rsidR="00F85DFD">
        <w:rPr>
          <w:rFonts w:ascii="Verdana" w:eastAsiaTheme="minorEastAsia" w:hAnsi="Verdana" w:hint="eastAsia"/>
          <w:sz w:val="17"/>
          <w:szCs w:val="17"/>
          <w:lang w:eastAsia="zh-CN"/>
        </w:rPr>
        <w:t xml:space="preserve"> type of options</w:t>
      </w:r>
      <w:r w:rsidR="000563E1">
        <w:rPr>
          <w:rFonts w:ascii="Verdana" w:hAnsi="Verdana"/>
          <w:sz w:val="17"/>
          <w:szCs w:val="17"/>
        </w:rPr>
        <w:t xml:space="preserve"> needed for </w:t>
      </w:r>
      <w:r w:rsidR="00F85DFD">
        <w:rPr>
          <w:rFonts w:ascii="Verdana" w:eastAsiaTheme="minorEastAsia" w:hAnsi="Verdana" w:hint="eastAsia"/>
          <w:sz w:val="17"/>
          <w:szCs w:val="17"/>
          <w:lang w:eastAsia="zh-CN"/>
        </w:rPr>
        <w:t xml:space="preserve">the </w:t>
      </w:r>
      <w:r w:rsidR="000563E1">
        <w:rPr>
          <w:rFonts w:ascii="Verdana" w:hAnsi="Verdana"/>
          <w:sz w:val="17"/>
          <w:szCs w:val="17"/>
        </w:rPr>
        <w:t xml:space="preserve">calibration and benchmark the results against the Monte Carlo method that is being used and include error convergence tests. Lastly we </w:t>
      </w:r>
      <w:r w:rsidR="005C3730">
        <w:rPr>
          <w:rFonts w:ascii="Verdana" w:eastAsiaTheme="minorEastAsia" w:hAnsi="Verdana" w:hint="eastAsia"/>
          <w:sz w:val="17"/>
          <w:szCs w:val="17"/>
          <w:lang w:eastAsia="zh-CN"/>
        </w:rPr>
        <w:t>work out</w:t>
      </w:r>
      <w:r w:rsidR="00945280">
        <w:rPr>
          <w:rFonts w:ascii="Verdana" w:hAnsi="Verdana"/>
          <w:sz w:val="17"/>
          <w:szCs w:val="17"/>
        </w:rPr>
        <w:t xml:space="preserve"> </w:t>
      </w:r>
      <w:r w:rsidR="000563E1">
        <w:rPr>
          <w:rFonts w:ascii="Verdana" w:hAnsi="Verdana"/>
          <w:sz w:val="17"/>
          <w:szCs w:val="17"/>
        </w:rPr>
        <w:t xml:space="preserve">the COS method </w:t>
      </w:r>
      <w:r w:rsidR="005C3730">
        <w:rPr>
          <w:rFonts w:ascii="Verdana" w:eastAsiaTheme="minorEastAsia" w:hAnsi="Verdana" w:hint="eastAsia"/>
          <w:sz w:val="17"/>
          <w:szCs w:val="17"/>
          <w:lang w:eastAsia="zh-CN"/>
        </w:rPr>
        <w:t>for</w:t>
      </w:r>
      <w:r w:rsidR="000563E1">
        <w:rPr>
          <w:rFonts w:ascii="Verdana" w:hAnsi="Verdana"/>
          <w:sz w:val="17"/>
          <w:szCs w:val="17"/>
        </w:rPr>
        <w:t xml:space="preserve"> pric</w:t>
      </w:r>
      <w:r w:rsidR="005C3730">
        <w:rPr>
          <w:rFonts w:ascii="Verdana" w:eastAsiaTheme="minorEastAsia" w:hAnsi="Verdana" w:hint="eastAsia"/>
          <w:sz w:val="17"/>
          <w:szCs w:val="17"/>
          <w:lang w:eastAsia="zh-CN"/>
        </w:rPr>
        <w:t>ing</w:t>
      </w:r>
      <w:r w:rsidR="000563E1">
        <w:rPr>
          <w:rFonts w:ascii="Verdana" w:hAnsi="Verdana"/>
          <w:sz w:val="17"/>
          <w:szCs w:val="17"/>
        </w:rPr>
        <w:t xml:space="preserve"> swaptions and</w:t>
      </w:r>
      <w:r w:rsidR="0094378C">
        <w:rPr>
          <w:rFonts w:ascii="Verdana" w:eastAsiaTheme="minorEastAsia" w:hAnsi="Verdana" w:hint="eastAsia"/>
          <w:sz w:val="17"/>
          <w:szCs w:val="17"/>
          <w:lang w:eastAsia="zh-CN"/>
        </w:rPr>
        <w:t>/or</w:t>
      </w:r>
      <w:r w:rsidR="000563E1">
        <w:rPr>
          <w:rFonts w:ascii="Verdana" w:hAnsi="Verdana"/>
          <w:sz w:val="17"/>
          <w:szCs w:val="17"/>
        </w:rPr>
        <w:t xml:space="preserve"> year-on-year inflation caps and floors.</w:t>
      </w:r>
    </w:p>
    <w:p w14:paraId="4298A3AB" w14:textId="77777777" w:rsidR="00932ADE" w:rsidRDefault="00932ADE" w:rsidP="000563E1">
      <w:pPr>
        <w:spacing w:line="227" w:lineRule="atLeast"/>
        <w:rPr>
          <w:rFonts w:ascii="Verdana" w:hAnsi="Verdana"/>
          <w:sz w:val="17"/>
          <w:szCs w:val="17"/>
        </w:rPr>
      </w:pPr>
    </w:p>
    <w:p w14:paraId="475607C3" w14:textId="0FFA291D" w:rsidR="00932ADE" w:rsidRDefault="002A3327" w:rsidP="000563E1">
      <w:pPr>
        <w:spacing w:line="227" w:lineRule="atLeast"/>
        <w:rPr>
          <w:rFonts w:ascii="Verdana" w:hAnsi="Verdana"/>
          <w:sz w:val="17"/>
          <w:szCs w:val="17"/>
        </w:rPr>
      </w:pPr>
      <w:r>
        <w:rPr>
          <w:rFonts w:ascii="Verdana" w:hAnsi="Verdana"/>
          <w:sz w:val="17"/>
          <w:szCs w:val="17"/>
        </w:rPr>
        <w:t>“Expected” p</w:t>
      </w:r>
      <w:r w:rsidR="00932ADE">
        <w:rPr>
          <w:rFonts w:ascii="Verdana" w:hAnsi="Verdana"/>
          <w:sz w:val="17"/>
          <w:szCs w:val="17"/>
        </w:rPr>
        <w:t>lanning:</w:t>
      </w:r>
    </w:p>
    <w:p w14:paraId="05C7DEC6" w14:textId="77777777" w:rsidR="00932ADE" w:rsidRDefault="00932ADE" w:rsidP="000563E1">
      <w:pPr>
        <w:spacing w:line="227" w:lineRule="atLeast"/>
        <w:rPr>
          <w:rFonts w:ascii="Verdana" w:hAnsi="Verdana"/>
          <w:sz w:val="17"/>
          <w:szCs w:val="17"/>
        </w:rPr>
      </w:pPr>
    </w:p>
    <w:p w14:paraId="7D60049B" w14:textId="2826EFDF" w:rsidR="00932ADE" w:rsidRPr="00E91803" w:rsidRDefault="009D218F" w:rsidP="000563E1">
      <w:pPr>
        <w:spacing w:line="227" w:lineRule="atLeast"/>
        <w:rPr>
          <w:rFonts w:ascii="Verdana" w:hAnsi="Verdana"/>
          <w:sz w:val="17"/>
          <w:szCs w:val="17"/>
        </w:rPr>
      </w:pPr>
      <w:r>
        <w:rPr>
          <w:rFonts w:ascii="Verdana" w:hAnsi="Verdana"/>
          <w:sz w:val="17"/>
          <w:szCs w:val="17"/>
        </w:rPr>
        <w:t>July</w:t>
      </w:r>
      <w:r w:rsidR="00FB7503" w:rsidRPr="004B08F9">
        <w:rPr>
          <w:rFonts w:ascii="Verdana" w:hAnsi="Verdana" w:hint="eastAsia"/>
          <w:sz w:val="17"/>
          <w:szCs w:val="17"/>
        </w:rPr>
        <w:t xml:space="preserve"> 2024</w:t>
      </w:r>
      <w:r w:rsidR="002A3327">
        <w:rPr>
          <w:rFonts w:ascii="Verdana" w:hAnsi="Verdana"/>
          <w:sz w:val="17"/>
          <w:szCs w:val="17"/>
        </w:rPr>
        <w:t xml:space="preserve"> –</w:t>
      </w:r>
      <w:r>
        <w:rPr>
          <w:rFonts w:ascii="Verdana" w:hAnsi="Verdana"/>
          <w:sz w:val="17"/>
          <w:szCs w:val="17"/>
        </w:rPr>
        <w:t xml:space="preserve"> mid</w:t>
      </w:r>
      <w:r w:rsidR="00395897">
        <w:rPr>
          <w:rFonts w:ascii="Verdana" w:hAnsi="Verdana"/>
          <w:sz w:val="17"/>
          <w:szCs w:val="17"/>
        </w:rPr>
        <w:t>-</w:t>
      </w:r>
      <w:r>
        <w:rPr>
          <w:rFonts w:ascii="Verdana" w:hAnsi="Verdana"/>
          <w:sz w:val="17"/>
          <w:szCs w:val="17"/>
        </w:rPr>
        <w:t>August</w:t>
      </w:r>
      <w:r w:rsidR="00FB7503" w:rsidRPr="004B08F9">
        <w:rPr>
          <w:rFonts w:ascii="Verdana" w:hAnsi="Verdana" w:hint="eastAsia"/>
          <w:sz w:val="17"/>
          <w:szCs w:val="17"/>
        </w:rPr>
        <w:t xml:space="preserve"> 2024</w:t>
      </w:r>
      <w:r>
        <w:rPr>
          <w:rFonts w:ascii="Verdana" w:hAnsi="Verdana"/>
          <w:sz w:val="17"/>
          <w:szCs w:val="17"/>
        </w:rPr>
        <w:t xml:space="preserve">: </w:t>
      </w:r>
      <w:r w:rsidR="00FE6B43">
        <w:rPr>
          <w:rFonts w:ascii="Verdana" w:hAnsi="Verdana"/>
          <w:sz w:val="17"/>
          <w:szCs w:val="17"/>
        </w:rPr>
        <w:t>literature study + documentation CP 2022</w:t>
      </w:r>
      <w:r w:rsidR="005C3730" w:rsidRPr="004B08F9">
        <w:rPr>
          <w:rFonts w:ascii="Verdana" w:hAnsi="Verdana" w:hint="eastAsia"/>
          <w:sz w:val="17"/>
          <w:szCs w:val="17"/>
        </w:rPr>
        <w:t>, particularly the mathematical derivations of needed characteristic function.</w:t>
      </w:r>
    </w:p>
    <w:p w14:paraId="1D6D9AC3" w14:textId="2B4220DD" w:rsidR="00FE6B43" w:rsidRPr="00E91803" w:rsidRDefault="00395897" w:rsidP="000563E1">
      <w:pPr>
        <w:spacing w:line="227" w:lineRule="atLeast"/>
        <w:rPr>
          <w:rFonts w:ascii="Verdana" w:hAnsi="Verdana"/>
          <w:sz w:val="17"/>
          <w:szCs w:val="17"/>
        </w:rPr>
      </w:pPr>
      <w:r w:rsidRPr="004B08F9">
        <w:rPr>
          <w:rFonts w:ascii="Verdana" w:hAnsi="Verdana"/>
          <w:sz w:val="17"/>
          <w:szCs w:val="17"/>
        </w:rPr>
        <w:t>Mid-August</w:t>
      </w:r>
      <w:r w:rsidR="00FB7503" w:rsidRPr="004B08F9">
        <w:rPr>
          <w:rFonts w:ascii="Verdana" w:hAnsi="Verdana" w:hint="eastAsia"/>
          <w:sz w:val="17"/>
          <w:szCs w:val="17"/>
        </w:rPr>
        <w:t xml:space="preserve"> 2024</w:t>
      </w:r>
      <w:r w:rsidR="00E36F82">
        <w:rPr>
          <w:rFonts w:ascii="Verdana" w:hAnsi="Verdana"/>
          <w:sz w:val="17"/>
          <w:szCs w:val="17"/>
        </w:rPr>
        <w:t xml:space="preserve"> </w:t>
      </w:r>
      <w:r w:rsidR="00880288">
        <w:rPr>
          <w:rFonts w:ascii="Verdana" w:hAnsi="Verdana"/>
          <w:sz w:val="17"/>
          <w:szCs w:val="17"/>
        </w:rPr>
        <w:t>–</w:t>
      </w:r>
      <w:r w:rsidR="000401AA" w:rsidRPr="004B08F9">
        <w:rPr>
          <w:rFonts w:ascii="Verdana" w:hAnsi="Verdana" w:hint="eastAsia"/>
          <w:sz w:val="17"/>
          <w:szCs w:val="17"/>
        </w:rPr>
        <w:t xml:space="preserve"> </w:t>
      </w:r>
      <w:r w:rsidR="004B08F9">
        <w:rPr>
          <w:rFonts w:ascii="Verdana" w:hAnsi="Verdana"/>
          <w:sz w:val="17"/>
          <w:szCs w:val="17"/>
        </w:rPr>
        <w:t>Mid</w:t>
      </w:r>
      <w:r>
        <w:rPr>
          <w:rFonts w:ascii="Verdana" w:hAnsi="Verdana"/>
          <w:sz w:val="17"/>
          <w:szCs w:val="17"/>
        </w:rPr>
        <w:t>-</w:t>
      </w:r>
      <w:r w:rsidR="004B08F9">
        <w:rPr>
          <w:rFonts w:ascii="Verdana" w:hAnsi="Verdana"/>
          <w:sz w:val="17"/>
          <w:szCs w:val="17"/>
        </w:rPr>
        <w:t>October</w:t>
      </w:r>
      <w:r w:rsidR="00FB7503" w:rsidRPr="004B08F9">
        <w:rPr>
          <w:rFonts w:ascii="Verdana" w:hAnsi="Verdana" w:hint="eastAsia"/>
          <w:sz w:val="17"/>
          <w:szCs w:val="17"/>
        </w:rPr>
        <w:t xml:space="preserve"> 2024</w:t>
      </w:r>
      <w:r w:rsidR="00880288">
        <w:rPr>
          <w:rFonts w:ascii="Verdana" w:hAnsi="Verdana"/>
          <w:sz w:val="17"/>
          <w:szCs w:val="17"/>
        </w:rPr>
        <w:t xml:space="preserve">: </w:t>
      </w:r>
      <w:r w:rsidR="0094378C" w:rsidRPr="004B08F9">
        <w:rPr>
          <w:rFonts w:ascii="Verdana" w:hAnsi="Verdana" w:hint="eastAsia"/>
          <w:sz w:val="17"/>
          <w:szCs w:val="17"/>
        </w:rPr>
        <w:t xml:space="preserve">work out the </w:t>
      </w:r>
      <w:r w:rsidR="00880288">
        <w:rPr>
          <w:rFonts w:ascii="Verdana" w:hAnsi="Verdana"/>
          <w:sz w:val="17"/>
          <w:szCs w:val="17"/>
        </w:rPr>
        <w:t>COS method</w:t>
      </w:r>
      <w:r w:rsidR="0094378C" w:rsidRPr="004B08F9">
        <w:rPr>
          <w:rFonts w:ascii="Verdana" w:hAnsi="Verdana" w:hint="eastAsia"/>
          <w:sz w:val="17"/>
          <w:szCs w:val="17"/>
        </w:rPr>
        <w:t xml:space="preserve"> for </w:t>
      </w:r>
      <w:r w:rsidR="00880288">
        <w:rPr>
          <w:rFonts w:ascii="Verdana" w:hAnsi="Verdana"/>
          <w:sz w:val="17"/>
          <w:szCs w:val="17"/>
        </w:rPr>
        <w:t>European style option</w:t>
      </w:r>
      <w:r w:rsidR="005F55EC" w:rsidRPr="004B08F9">
        <w:rPr>
          <w:rFonts w:ascii="Verdana" w:hAnsi="Verdana" w:hint="eastAsia"/>
          <w:sz w:val="17"/>
          <w:szCs w:val="17"/>
        </w:rPr>
        <w:t>(</w:t>
      </w:r>
      <w:r w:rsidR="00880288">
        <w:rPr>
          <w:rFonts w:ascii="Verdana" w:hAnsi="Verdana"/>
          <w:sz w:val="17"/>
          <w:szCs w:val="17"/>
        </w:rPr>
        <w:t>s</w:t>
      </w:r>
      <w:r w:rsidR="005F55EC" w:rsidRPr="004B08F9">
        <w:rPr>
          <w:rFonts w:ascii="Verdana" w:hAnsi="Verdana" w:hint="eastAsia"/>
          <w:sz w:val="17"/>
          <w:szCs w:val="17"/>
        </w:rPr>
        <w:t>) used in the calibration</w:t>
      </w:r>
      <w:r w:rsidR="00297841" w:rsidRPr="004B08F9">
        <w:rPr>
          <w:rFonts w:ascii="Verdana" w:hAnsi="Verdana" w:hint="eastAsia"/>
          <w:sz w:val="17"/>
          <w:szCs w:val="17"/>
        </w:rPr>
        <w:t>, including error convergence tests</w:t>
      </w:r>
      <w:r w:rsidR="004B08F9">
        <w:rPr>
          <w:rFonts w:ascii="Verdana" w:hAnsi="Verdana"/>
          <w:sz w:val="17"/>
          <w:szCs w:val="17"/>
        </w:rPr>
        <w:t>.</w:t>
      </w:r>
    </w:p>
    <w:p w14:paraId="673C05FF" w14:textId="5383CA78" w:rsidR="00D9567C" w:rsidRPr="00E91803" w:rsidRDefault="00395897" w:rsidP="000563E1">
      <w:pPr>
        <w:spacing w:line="227" w:lineRule="atLeast"/>
        <w:rPr>
          <w:rFonts w:ascii="Verdana" w:hAnsi="Verdana"/>
          <w:sz w:val="17"/>
          <w:szCs w:val="17"/>
        </w:rPr>
      </w:pPr>
      <w:r>
        <w:rPr>
          <w:rFonts w:ascii="Verdana" w:hAnsi="Verdana"/>
          <w:sz w:val="17"/>
          <w:szCs w:val="17"/>
        </w:rPr>
        <w:t>Mid-October</w:t>
      </w:r>
      <w:r w:rsidR="004B08F9">
        <w:rPr>
          <w:rFonts w:ascii="Verdana" w:hAnsi="Verdana"/>
          <w:sz w:val="17"/>
          <w:szCs w:val="17"/>
        </w:rPr>
        <w:t xml:space="preserve"> 2024 </w:t>
      </w:r>
      <w:r>
        <w:rPr>
          <w:rFonts w:ascii="Verdana" w:hAnsi="Verdana"/>
          <w:sz w:val="17"/>
          <w:szCs w:val="17"/>
        </w:rPr>
        <w:t>–</w:t>
      </w:r>
      <w:r w:rsidR="00D54F4E">
        <w:rPr>
          <w:rFonts w:ascii="Verdana" w:hAnsi="Verdana"/>
          <w:sz w:val="17"/>
          <w:szCs w:val="17"/>
        </w:rPr>
        <w:t xml:space="preserve"> </w:t>
      </w:r>
      <w:r w:rsidR="00250D2F" w:rsidRPr="004B08F9">
        <w:rPr>
          <w:rFonts w:ascii="Verdana" w:hAnsi="Verdana"/>
          <w:sz w:val="17"/>
          <w:szCs w:val="17"/>
        </w:rPr>
        <w:t>February</w:t>
      </w:r>
      <w:r w:rsidR="000401AA" w:rsidRPr="004B08F9">
        <w:rPr>
          <w:rFonts w:ascii="Verdana" w:hAnsi="Verdana" w:hint="eastAsia"/>
          <w:sz w:val="17"/>
          <w:szCs w:val="17"/>
        </w:rPr>
        <w:t xml:space="preserve"> 2025</w:t>
      </w:r>
      <w:r w:rsidR="00404B80">
        <w:rPr>
          <w:rFonts w:ascii="Verdana" w:hAnsi="Verdana"/>
          <w:sz w:val="17"/>
          <w:szCs w:val="17"/>
        </w:rPr>
        <w:t xml:space="preserve">: </w:t>
      </w:r>
      <w:r w:rsidR="004B08F9">
        <w:rPr>
          <w:rFonts w:ascii="Verdana" w:hAnsi="Verdana"/>
          <w:sz w:val="17"/>
          <w:szCs w:val="17"/>
        </w:rPr>
        <w:t xml:space="preserve">investigate and </w:t>
      </w:r>
      <w:r w:rsidR="005C3730" w:rsidRPr="004B08F9">
        <w:rPr>
          <w:rFonts w:ascii="Verdana" w:hAnsi="Verdana" w:hint="eastAsia"/>
          <w:sz w:val="17"/>
          <w:szCs w:val="17"/>
        </w:rPr>
        <w:t xml:space="preserve">work out the </w:t>
      </w:r>
      <w:r w:rsidR="00404B80">
        <w:rPr>
          <w:rFonts w:ascii="Verdana" w:hAnsi="Verdana"/>
          <w:sz w:val="17"/>
          <w:szCs w:val="17"/>
        </w:rPr>
        <w:t xml:space="preserve">COS method </w:t>
      </w:r>
      <w:r w:rsidR="00DA1047" w:rsidRPr="004B08F9">
        <w:rPr>
          <w:rFonts w:ascii="Verdana" w:hAnsi="Verdana" w:hint="eastAsia"/>
          <w:sz w:val="17"/>
          <w:szCs w:val="17"/>
        </w:rPr>
        <w:t xml:space="preserve">for </w:t>
      </w:r>
      <w:r w:rsidR="005F55EC" w:rsidRPr="004B08F9">
        <w:rPr>
          <w:rFonts w:ascii="Verdana" w:hAnsi="Verdana" w:hint="eastAsia"/>
          <w:sz w:val="17"/>
          <w:szCs w:val="17"/>
        </w:rPr>
        <w:t xml:space="preserve"> pricing swaptions and/or year-on-year inflation caps and floors</w:t>
      </w:r>
      <w:r w:rsidR="00250D2F" w:rsidRPr="004B08F9">
        <w:rPr>
          <w:rFonts w:ascii="Verdana" w:hAnsi="Verdana" w:hint="eastAsia"/>
          <w:sz w:val="17"/>
          <w:szCs w:val="17"/>
        </w:rPr>
        <w:t>, including error analysis.</w:t>
      </w:r>
    </w:p>
    <w:p w14:paraId="3BF9C3B9" w14:textId="77777777" w:rsidR="00D54F4E" w:rsidRDefault="00D54F4E" w:rsidP="000563E1">
      <w:pPr>
        <w:spacing w:line="227" w:lineRule="atLeast"/>
        <w:rPr>
          <w:rFonts w:ascii="Verdana" w:hAnsi="Verdana"/>
          <w:sz w:val="17"/>
          <w:szCs w:val="17"/>
        </w:rPr>
      </w:pPr>
    </w:p>
    <w:p w14:paraId="715A2172" w14:textId="2796E18E" w:rsidR="00932ADE" w:rsidRDefault="00D9567C" w:rsidP="000563E1">
      <w:pPr>
        <w:spacing w:line="227" w:lineRule="atLeast"/>
        <w:rPr>
          <w:rFonts w:ascii="Verdana" w:hAnsi="Verdana"/>
          <w:sz w:val="17"/>
          <w:szCs w:val="17"/>
        </w:rPr>
      </w:pPr>
      <w:r>
        <w:rPr>
          <w:rFonts w:ascii="Verdana" w:hAnsi="Verdana"/>
          <w:sz w:val="17"/>
          <w:szCs w:val="17"/>
        </w:rPr>
        <w:t xml:space="preserve">Defense: </w:t>
      </w:r>
      <w:r w:rsidR="00250D2F">
        <w:rPr>
          <w:rFonts w:ascii="Verdana" w:eastAsiaTheme="minorEastAsia" w:hAnsi="Verdana" w:hint="eastAsia"/>
          <w:sz w:val="17"/>
          <w:szCs w:val="17"/>
          <w:lang w:eastAsia="zh-CN"/>
        </w:rPr>
        <w:t>March</w:t>
      </w:r>
      <w:r w:rsidR="00250D2F">
        <w:rPr>
          <w:rFonts w:ascii="Verdana" w:hAnsi="Verdana"/>
          <w:sz w:val="17"/>
          <w:szCs w:val="17"/>
        </w:rPr>
        <w:t xml:space="preserve"> </w:t>
      </w:r>
      <w:r w:rsidR="007A14DB">
        <w:rPr>
          <w:rFonts w:ascii="Verdana" w:hAnsi="Verdana"/>
          <w:sz w:val="17"/>
          <w:szCs w:val="17"/>
        </w:rPr>
        <w:t>2025</w:t>
      </w:r>
      <w:r w:rsidR="00404B80">
        <w:rPr>
          <w:rFonts w:ascii="Verdana" w:hAnsi="Verdana"/>
          <w:sz w:val="17"/>
          <w:szCs w:val="17"/>
        </w:rPr>
        <w:t xml:space="preserve"> (to be determined)</w:t>
      </w:r>
    </w:p>
    <w:p w14:paraId="1303C3BC" w14:textId="77777777" w:rsidR="00932ADE" w:rsidRDefault="00932ADE" w:rsidP="000563E1">
      <w:pPr>
        <w:spacing w:line="227" w:lineRule="atLeast"/>
        <w:rPr>
          <w:rFonts w:ascii="Verdana" w:hAnsi="Verdana"/>
          <w:sz w:val="17"/>
          <w:szCs w:val="17"/>
        </w:rPr>
      </w:pPr>
    </w:p>
    <w:p w14:paraId="40D295C2" w14:textId="372A2727" w:rsidR="000563E1" w:rsidRDefault="000563E1" w:rsidP="000563E1">
      <w:pPr>
        <w:spacing w:line="227" w:lineRule="atLeast"/>
        <w:rPr>
          <w:rFonts w:ascii="Verdana" w:hAnsi="Verdana"/>
          <w:sz w:val="17"/>
          <w:szCs w:val="17"/>
        </w:rPr>
      </w:pPr>
      <w:r>
        <w:rPr>
          <w:rFonts w:ascii="Verdana" w:hAnsi="Verdana"/>
          <w:sz w:val="17"/>
          <w:szCs w:val="17"/>
        </w:rPr>
        <w:t>Relevant literature</w:t>
      </w:r>
    </w:p>
    <w:p w14:paraId="69C81C3A" w14:textId="77777777" w:rsidR="000563E1" w:rsidRDefault="000563E1" w:rsidP="000563E1">
      <w:pPr>
        <w:spacing w:line="227" w:lineRule="atLeast"/>
        <w:rPr>
          <w:rFonts w:ascii="Verdana" w:hAnsi="Verdana"/>
          <w:sz w:val="17"/>
          <w:szCs w:val="17"/>
        </w:rPr>
      </w:pPr>
    </w:p>
    <w:p w14:paraId="3CEFCB5E" w14:textId="68FADF16" w:rsidR="000563E1" w:rsidRPr="005D1CD9" w:rsidRDefault="000563E1" w:rsidP="000563E1">
      <w:pPr>
        <w:pStyle w:val="Lijstalinea"/>
        <w:numPr>
          <w:ilvl w:val="0"/>
          <w:numId w:val="3"/>
        </w:numPr>
        <w:spacing w:line="227" w:lineRule="atLeast"/>
        <w:rPr>
          <w:rFonts w:ascii="Verdana" w:hAnsi="Verdana"/>
          <w:sz w:val="17"/>
          <w:szCs w:val="17"/>
          <w:lang w:val="nl-NL"/>
        </w:rPr>
      </w:pPr>
      <w:r>
        <w:rPr>
          <w:rFonts w:ascii="Verdana" w:hAnsi="Verdana"/>
          <w:sz w:val="17"/>
          <w:szCs w:val="17"/>
          <w:lang w:val="nl-NL"/>
        </w:rPr>
        <w:t xml:space="preserve">De Nederlandsche Bank. DNB Publiceert Definitieve Scenariosets Bij Wet Toekomst Pensioenen. </w:t>
      </w:r>
      <w:r w:rsidR="005D1CD9" w:rsidRPr="005D1CD9">
        <w:rPr>
          <w:rFonts w:ascii="Verdana" w:hAnsi="Verdana"/>
          <w:sz w:val="17"/>
          <w:szCs w:val="17"/>
          <w:lang w:val="nl-NL"/>
        </w:rPr>
        <w:t>http://www.dnb.nl/voor-de-sector/open-boek-toezicht/sectoren/pensioenfondsen/dnb-publiceert-definitieve-scenariosets-bij-wet-toekomst-pensioenen/</w:t>
      </w:r>
    </w:p>
    <w:p w14:paraId="56599702" w14:textId="77777777" w:rsidR="000563E1" w:rsidRPr="004B08F9" w:rsidRDefault="000563E1" w:rsidP="000563E1">
      <w:pPr>
        <w:pStyle w:val="Lijstalinea"/>
        <w:spacing w:line="227" w:lineRule="atLeast"/>
        <w:rPr>
          <w:rFonts w:ascii="Verdana" w:hAnsi="Verdana"/>
          <w:sz w:val="17"/>
          <w:szCs w:val="17"/>
          <w:lang w:val="nl-NL"/>
        </w:rPr>
      </w:pPr>
    </w:p>
    <w:p w14:paraId="46031AF7" w14:textId="77777777" w:rsidR="000563E1" w:rsidRDefault="000563E1" w:rsidP="000563E1">
      <w:pPr>
        <w:pStyle w:val="Lijstalinea"/>
        <w:numPr>
          <w:ilvl w:val="0"/>
          <w:numId w:val="3"/>
        </w:numPr>
        <w:spacing w:line="227" w:lineRule="atLeast"/>
        <w:rPr>
          <w:rFonts w:ascii="Verdana" w:hAnsi="Verdana"/>
          <w:sz w:val="17"/>
          <w:szCs w:val="17"/>
        </w:rPr>
      </w:pPr>
      <w:r w:rsidRPr="004B08F9">
        <w:rPr>
          <w:rFonts w:ascii="Verdana" w:hAnsi="Verdana"/>
          <w:sz w:val="17"/>
          <w:szCs w:val="17"/>
          <w:lang w:val="nl-NL"/>
        </w:rPr>
        <w:lastRenderedPageBreak/>
        <w:t xml:space="preserve">R. S. J. </w:t>
      </w:r>
      <w:proofErr w:type="spellStart"/>
      <w:r w:rsidRPr="004B08F9">
        <w:rPr>
          <w:rFonts w:ascii="Verdana" w:hAnsi="Verdana"/>
          <w:sz w:val="17"/>
          <w:szCs w:val="17"/>
          <w:lang w:val="nl-NL"/>
        </w:rPr>
        <w:t>Koijen</w:t>
      </w:r>
      <w:proofErr w:type="spellEnd"/>
      <w:r w:rsidRPr="004B08F9">
        <w:rPr>
          <w:rFonts w:ascii="Verdana" w:hAnsi="Verdana"/>
          <w:sz w:val="17"/>
          <w:szCs w:val="17"/>
          <w:lang w:val="nl-NL"/>
        </w:rPr>
        <w:t>, Th. E. Nijman, and B. J. M. Werker. When can</w:t>
      </w:r>
      <w:r>
        <w:rPr>
          <w:rFonts w:ascii="Verdana" w:hAnsi="Verdana"/>
          <w:sz w:val="17"/>
          <w:szCs w:val="17"/>
        </w:rPr>
        <w:t xml:space="preserve"> life cycle investors benefit from time-varying bond risk premia? The Review of Financial Studies, 23(2):741–780, 2009.</w:t>
      </w:r>
    </w:p>
    <w:p w14:paraId="002E5D83" w14:textId="77777777" w:rsidR="000563E1" w:rsidRDefault="000563E1" w:rsidP="000563E1">
      <w:pPr>
        <w:pStyle w:val="Lijstalinea"/>
        <w:rPr>
          <w:rFonts w:ascii="Verdana" w:hAnsi="Verdana"/>
          <w:sz w:val="17"/>
          <w:szCs w:val="17"/>
        </w:rPr>
      </w:pPr>
    </w:p>
    <w:p w14:paraId="0DC60DA9" w14:textId="22412B39" w:rsidR="000563E1" w:rsidRDefault="000563E1" w:rsidP="000563E1">
      <w:pPr>
        <w:pStyle w:val="Lijstalinea"/>
        <w:numPr>
          <w:ilvl w:val="0"/>
          <w:numId w:val="3"/>
        </w:numPr>
        <w:spacing w:line="227" w:lineRule="atLeast"/>
        <w:rPr>
          <w:rFonts w:ascii="Verdana" w:hAnsi="Verdana"/>
          <w:sz w:val="17"/>
          <w:szCs w:val="17"/>
        </w:rPr>
      </w:pPr>
      <w:proofErr w:type="spellStart"/>
      <w:r>
        <w:rPr>
          <w:rFonts w:ascii="Verdana" w:hAnsi="Verdana"/>
          <w:sz w:val="17"/>
          <w:szCs w:val="17"/>
        </w:rPr>
        <w:t>Commisie</w:t>
      </w:r>
      <w:proofErr w:type="spellEnd"/>
      <w:r>
        <w:rPr>
          <w:rFonts w:ascii="Verdana" w:hAnsi="Verdana"/>
          <w:sz w:val="17"/>
          <w:szCs w:val="17"/>
        </w:rPr>
        <w:t xml:space="preserve"> Parameters 2022. Technical appendix: Specification of the CP2022 model. Technical report, </w:t>
      </w:r>
      <w:proofErr w:type="spellStart"/>
      <w:r>
        <w:rPr>
          <w:rFonts w:ascii="Verdana" w:hAnsi="Verdana"/>
          <w:sz w:val="17"/>
          <w:szCs w:val="17"/>
        </w:rPr>
        <w:t>Commisie</w:t>
      </w:r>
      <w:proofErr w:type="spellEnd"/>
      <w:r>
        <w:rPr>
          <w:rFonts w:ascii="Verdana" w:hAnsi="Verdana"/>
          <w:sz w:val="17"/>
          <w:szCs w:val="17"/>
        </w:rPr>
        <w:t xml:space="preserve"> Parameters 2022, 2022. https://www.rijksoverheid.nl/documenten/rapporten/2022/11/29/ bijlage-2-technische-appendix.</w:t>
      </w:r>
    </w:p>
    <w:p w14:paraId="0206C02D" w14:textId="77777777" w:rsidR="000563E1" w:rsidRDefault="000563E1" w:rsidP="000563E1">
      <w:pPr>
        <w:pStyle w:val="Lijstalinea"/>
        <w:spacing w:line="227" w:lineRule="atLeast"/>
        <w:rPr>
          <w:rFonts w:ascii="Verdana" w:hAnsi="Verdana"/>
          <w:sz w:val="17"/>
          <w:szCs w:val="17"/>
        </w:rPr>
      </w:pPr>
    </w:p>
    <w:p w14:paraId="58072D88" w14:textId="77777777" w:rsidR="000563E1" w:rsidRDefault="000563E1" w:rsidP="000563E1">
      <w:pPr>
        <w:pStyle w:val="Lijstalinea"/>
        <w:numPr>
          <w:ilvl w:val="0"/>
          <w:numId w:val="3"/>
        </w:numPr>
        <w:spacing w:line="227" w:lineRule="atLeast"/>
        <w:rPr>
          <w:rFonts w:ascii="Verdana" w:hAnsi="Verdana"/>
          <w:sz w:val="17"/>
          <w:szCs w:val="17"/>
        </w:rPr>
      </w:pPr>
      <w:r>
        <w:rPr>
          <w:rFonts w:ascii="Verdana" w:hAnsi="Verdana"/>
          <w:sz w:val="17"/>
          <w:szCs w:val="17"/>
        </w:rPr>
        <w:t>Carr, Peter, and Dilip Madan. "Option valuation using the fast Fourier transform." Journal of computational finance 2.4 (1999): 61-73.</w:t>
      </w:r>
    </w:p>
    <w:p w14:paraId="266AACBB" w14:textId="77777777" w:rsidR="000563E1" w:rsidRDefault="000563E1" w:rsidP="000563E1">
      <w:pPr>
        <w:pStyle w:val="Lijstalinea"/>
        <w:rPr>
          <w:rFonts w:ascii="Verdana" w:hAnsi="Verdana"/>
          <w:sz w:val="17"/>
          <w:szCs w:val="17"/>
        </w:rPr>
      </w:pPr>
    </w:p>
    <w:p w14:paraId="65715B52" w14:textId="77777777" w:rsidR="000563E1" w:rsidRDefault="000563E1" w:rsidP="000563E1">
      <w:pPr>
        <w:pStyle w:val="Lijstalinea"/>
        <w:numPr>
          <w:ilvl w:val="0"/>
          <w:numId w:val="3"/>
        </w:numPr>
        <w:spacing w:line="227" w:lineRule="atLeast"/>
        <w:rPr>
          <w:rFonts w:ascii="Verdana" w:hAnsi="Verdana"/>
          <w:sz w:val="17"/>
          <w:szCs w:val="17"/>
        </w:rPr>
      </w:pPr>
      <w:r>
        <w:rPr>
          <w:rFonts w:ascii="Verdana" w:hAnsi="Verdana"/>
          <w:sz w:val="17"/>
          <w:szCs w:val="17"/>
        </w:rPr>
        <w:t xml:space="preserve">Fang, Fang, and Cornelis W. </w:t>
      </w:r>
      <w:proofErr w:type="spellStart"/>
      <w:r>
        <w:rPr>
          <w:rFonts w:ascii="Verdana" w:hAnsi="Verdana"/>
          <w:sz w:val="17"/>
          <w:szCs w:val="17"/>
        </w:rPr>
        <w:t>Oosterlee</w:t>
      </w:r>
      <w:proofErr w:type="spellEnd"/>
      <w:r>
        <w:rPr>
          <w:rFonts w:ascii="Verdana" w:hAnsi="Verdana"/>
          <w:sz w:val="17"/>
          <w:szCs w:val="17"/>
        </w:rPr>
        <w:t>. "A novel pricing method for European options based on Fourier-cosine series expansions." SIAM Journal on Scientific Computing 31.2 (2009): 826-848.</w:t>
      </w:r>
    </w:p>
    <w:p w14:paraId="48C94D61" w14:textId="77777777" w:rsidR="000563E1" w:rsidRDefault="000563E1" w:rsidP="000563E1">
      <w:pPr>
        <w:rPr>
          <w:rFonts w:ascii="Verdana" w:hAnsi="Verdana"/>
          <w:sz w:val="17"/>
          <w:szCs w:val="17"/>
        </w:rPr>
      </w:pPr>
    </w:p>
    <w:p w14:paraId="4B1D8D10" w14:textId="16D4C371" w:rsidR="000563E1" w:rsidRDefault="000563E1" w:rsidP="000563E1">
      <w:pPr>
        <w:pStyle w:val="Lijstalinea"/>
        <w:numPr>
          <w:ilvl w:val="0"/>
          <w:numId w:val="3"/>
        </w:numPr>
        <w:spacing w:line="227" w:lineRule="atLeast"/>
        <w:rPr>
          <w:rFonts w:ascii="Verdana" w:hAnsi="Verdana"/>
          <w:sz w:val="17"/>
          <w:szCs w:val="17"/>
        </w:rPr>
      </w:pPr>
      <w:proofErr w:type="spellStart"/>
      <w:r>
        <w:rPr>
          <w:rFonts w:ascii="Verdana" w:hAnsi="Verdana"/>
          <w:sz w:val="17"/>
          <w:szCs w:val="17"/>
        </w:rPr>
        <w:t>Junike</w:t>
      </w:r>
      <w:proofErr w:type="spellEnd"/>
      <w:r>
        <w:rPr>
          <w:rFonts w:ascii="Verdana" w:hAnsi="Verdana"/>
          <w:sz w:val="17"/>
          <w:szCs w:val="17"/>
        </w:rPr>
        <w:t>, Gero, and Hauke Stier. "The multidimensional COS method for option pricing." </w:t>
      </w:r>
      <w:proofErr w:type="spellStart"/>
      <w:r>
        <w:rPr>
          <w:rFonts w:ascii="Verdana" w:hAnsi="Verdana"/>
          <w:sz w:val="17"/>
          <w:szCs w:val="17"/>
        </w:rPr>
        <w:t>arXiv</w:t>
      </w:r>
      <w:proofErr w:type="spellEnd"/>
      <w:r>
        <w:rPr>
          <w:rFonts w:ascii="Verdana" w:hAnsi="Verdana"/>
          <w:sz w:val="17"/>
          <w:szCs w:val="17"/>
        </w:rPr>
        <w:t xml:space="preserve"> preprint arXiv:2307.12843 (2023).</w:t>
      </w:r>
    </w:p>
    <w:p w14:paraId="65E904C4" w14:textId="77777777" w:rsidR="000563E1" w:rsidRPr="000563E1" w:rsidRDefault="000563E1" w:rsidP="000563E1">
      <w:pPr>
        <w:pStyle w:val="Lijstalinea"/>
        <w:rPr>
          <w:rFonts w:ascii="Verdana" w:hAnsi="Verdana"/>
          <w:sz w:val="17"/>
          <w:szCs w:val="17"/>
        </w:rPr>
      </w:pPr>
    </w:p>
    <w:p w14:paraId="58C703C8" w14:textId="77777777" w:rsidR="000563E1" w:rsidRPr="000563E1" w:rsidRDefault="000563E1" w:rsidP="000563E1">
      <w:pPr>
        <w:pStyle w:val="Lijstalinea"/>
        <w:spacing w:line="227" w:lineRule="atLeast"/>
        <w:rPr>
          <w:rFonts w:ascii="Verdana" w:hAnsi="Verdana"/>
          <w:sz w:val="17"/>
          <w:szCs w:val="17"/>
        </w:rPr>
      </w:pPr>
    </w:p>
    <w:p w14:paraId="7AE7819C" w14:textId="77777777" w:rsidR="000563E1" w:rsidRDefault="000563E1" w:rsidP="000563E1">
      <w:pPr>
        <w:pStyle w:val="Lijstalinea"/>
        <w:numPr>
          <w:ilvl w:val="0"/>
          <w:numId w:val="3"/>
        </w:numPr>
        <w:spacing w:line="227" w:lineRule="atLeast"/>
        <w:rPr>
          <w:rFonts w:ascii="Verdana" w:hAnsi="Verdana"/>
          <w:sz w:val="17"/>
          <w:szCs w:val="17"/>
        </w:rPr>
      </w:pPr>
      <w:bookmarkStart w:id="0" w:name="_Ref171245266"/>
      <w:r>
        <w:rPr>
          <w:rFonts w:ascii="Verdana" w:hAnsi="Verdana"/>
          <w:sz w:val="17"/>
          <w:szCs w:val="17"/>
        </w:rPr>
        <w:t xml:space="preserve">Fang, Fang, and Cornelis W. </w:t>
      </w:r>
      <w:proofErr w:type="spellStart"/>
      <w:r>
        <w:rPr>
          <w:rFonts w:ascii="Verdana" w:hAnsi="Verdana"/>
          <w:sz w:val="17"/>
          <w:szCs w:val="17"/>
        </w:rPr>
        <w:t>Oosterlee</w:t>
      </w:r>
      <w:proofErr w:type="spellEnd"/>
      <w:r>
        <w:rPr>
          <w:rFonts w:ascii="Verdana" w:hAnsi="Verdana"/>
          <w:sz w:val="17"/>
          <w:szCs w:val="17"/>
        </w:rPr>
        <w:t>. "A Fourier-based valuation method for Bermudan and barrier options under Heston's model." SIAM Journal on Financial Mathematics 2.1 (2011): 439-463.</w:t>
      </w:r>
      <w:bookmarkEnd w:id="0"/>
    </w:p>
    <w:p w14:paraId="17C83117" w14:textId="77777777" w:rsidR="00776FAC" w:rsidRPr="00917C5B" w:rsidRDefault="00776FAC" w:rsidP="00FF10CC">
      <w:pPr>
        <w:spacing w:line="227" w:lineRule="atLeast"/>
        <w:rPr>
          <w:rFonts w:ascii="Verdana" w:hAnsi="Verdana"/>
          <w:sz w:val="17"/>
          <w:szCs w:val="17"/>
        </w:rPr>
      </w:pPr>
    </w:p>
    <w:sectPr w:rsidR="00776FAC" w:rsidRPr="00917C5B" w:rsidSect="00945280">
      <w:headerReference w:type="default" r:id="rId10"/>
      <w:pgSz w:w="11906" w:h="16838"/>
      <w:pgMar w:top="2268" w:right="311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21AA1" w14:textId="77777777" w:rsidR="00C5645C" w:rsidRDefault="00C5645C" w:rsidP="00A12A35">
      <w:pPr>
        <w:spacing w:after="0" w:line="240" w:lineRule="auto"/>
      </w:pPr>
      <w:r>
        <w:separator/>
      </w:r>
    </w:p>
  </w:endnote>
  <w:endnote w:type="continuationSeparator" w:id="0">
    <w:p w14:paraId="38E98401" w14:textId="77777777" w:rsidR="00C5645C" w:rsidRDefault="00C5645C" w:rsidP="00A1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7F2FC" w14:textId="77777777" w:rsidR="00C5645C" w:rsidRDefault="00C5645C" w:rsidP="00A12A35">
      <w:pPr>
        <w:spacing w:after="0" w:line="240" w:lineRule="auto"/>
      </w:pPr>
      <w:r>
        <w:separator/>
      </w:r>
    </w:p>
  </w:footnote>
  <w:footnote w:type="continuationSeparator" w:id="0">
    <w:p w14:paraId="1A9CA332" w14:textId="77777777" w:rsidR="00C5645C" w:rsidRDefault="00C5645C" w:rsidP="00A1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AAD7B" w14:textId="77777777" w:rsidR="00917C5B" w:rsidRPr="00917C5B" w:rsidRDefault="00917C5B" w:rsidP="00917C5B">
    <w:pPr>
      <w:pStyle w:val="Koptekst"/>
      <w:tabs>
        <w:tab w:val="clear" w:pos="9026"/>
        <w:tab w:val="right" w:pos="7371"/>
      </w:tabs>
      <w:ind w:right="1655"/>
      <w:rPr>
        <w:rFonts w:ascii="Verdana" w:hAnsi="Verdana"/>
        <w:sz w:val="17"/>
        <w:szCs w:val="17"/>
      </w:rPr>
    </w:pPr>
    <w:r w:rsidRPr="00917C5B">
      <w:rPr>
        <w:rFonts w:ascii="Verdana" w:hAnsi="Verdana"/>
        <w:noProof/>
        <w:sz w:val="17"/>
        <w:szCs w:val="17"/>
      </w:rPr>
      <w:drawing>
        <wp:anchor distT="0" distB="0" distL="114300" distR="114300" simplePos="0" relativeHeight="251659264" behindDoc="1" locked="0" layoutInCell="1" allowOverlap="1" wp14:anchorId="78C41C51" wp14:editId="167F3BB3">
          <wp:simplePos x="0" y="0"/>
          <wp:positionH relativeFrom="column">
            <wp:posOffset>4927600</wp:posOffset>
          </wp:positionH>
          <wp:positionV relativeFrom="paragraph">
            <wp:posOffset>469265</wp:posOffset>
          </wp:positionV>
          <wp:extent cx="1375410" cy="444500"/>
          <wp:effectExtent l="0" t="0" r="0" b="0"/>
          <wp:wrapTight wrapText="bothSides">
            <wp:wrapPolygon edited="0">
              <wp:start x="0" y="0"/>
              <wp:lineTo x="0" y="20366"/>
              <wp:lineTo x="21241" y="20366"/>
              <wp:lineTo x="21241" y="0"/>
              <wp:lineTo x="0" y="0"/>
            </wp:wrapPolygon>
          </wp:wrapTight>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a:stretch/>
                </pic:blipFill>
                <pic:spPr>
                  <a:xfrm>
                    <a:off x="0" y="0"/>
                    <a:ext cx="1375410" cy="444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6F12"/>
    <w:multiLevelType w:val="hybridMultilevel"/>
    <w:tmpl w:val="A7DC18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1920E16"/>
    <w:multiLevelType w:val="hybridMultilevel"/>
    <w:tmpl w:val="0DF60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271A5958"/>
    <w:multiLevelType w:val="hybridMultilevel"/>
    <w:tmpl w:val="98F216F6"/>
    <w:lvl w:ilvl="0" w:tplc="88548EF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4164F8E"/>
    <w:multiLevelType w:val="hybridMultilevel"/>
    <w:tmpl w:val="A9409B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FDC015F"/>
    <w:multiLevelType w:val="hybridMultilevel"/>
    <w:tmpl w:val="42B2F89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954138657">
    <w:abstractNumId w:val="1"/>
  </w:num>
  <w:num w:numId="2" w16cid:durableId="1107192339">
    <w:abstractNumId w:val="2"/>
  </w:num>
  <w:num w:numId="3" w16cid:durableId="582646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7652879">
    <w:abstractNumId w:val="0"/>
  </w:num>
  <w:num w:numId="5" w16cid:durableId="20519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E1"/>
    <w:rsid w:val="000262D4"/>
    <w:rsid w:val="000401AA"/>
    <w:rsid w:val="000563E1"/>
    <w:rsid w:val="000637AC"/>
    <w:rsid w:val="000809D4"/>
    <w:rsid w:val="000A630A"/>
    <w:rsid w:val="000E393E"/>
    <w:rsid w:val="00150F1C"/>
    <w:rsid w:val="00186F07"/>
    <w:rsid w:val="001927AD"/>
    <w:rsid w:val="001A3CEA"/>
    <w:rsid w:val="001C075E"/>
    <w:rsid w:val="001E312B"/>
    <w:rsid w:val="001E57BE"/>
    <w:rsid w:val="00201C05"/>
    <w:rsid w:val="002052DE"/>
    <w:rsid w:val="002220CD"/>
    <w:rsid w:val="00222C9F"/>
    <w:rsid w:val="00233930"/>
    <w:rsid w:val="0024071F"/>
    <w:rsid w:val="00250D2F"/>
    <w:rsid w:val="00290604"/>
    <w:rsid w:val="00297841"/>
    <w:rsid w:val="002A3327"/>
    <w:rsid w:val="002C6087"/>
    <w:rsid w:val="00342F81"/>
    <w:rsid w:val="0036159F"/>
    <w:rsid w:val="00372075"/>
    <w:rsid w:val="0037486E"/>
    <w:rsid w:val="00387438"/>
    <w:rsid w:val="00395897"/>
    <w:rsid w:val="003D4715"/>
    <w:rsid w:val="003F03AA"/>
    <w:rsid w:val="00404B80"/>
    <w:rsid w:val="00412CB1"/>
    <w:rsid w:val="00414906"/>
    <w:rsid w:val="0041715B"/>
    <w:rsid w:val="00465465"/>
    <w:rsid w:val="0048688B"/>
    <w:rsid w:val="004A089B"/>
    <w:rsid w:val="004B08F9"/>
    <w:rsid w:val="004E010B"/>
    <w:rsid w:val="004F0878"/>
    <w:rsid w:val="004F32B8"/>
    <w:rsid w:val="00552E4F"/>
    <w:rsid w:val="005554CE"/>
    <w:rsid w:val="005766F8"/>
    <w:rsid w:val="005907B5"/>
    <w:rsid w:val="005C3730"/>
    <w:rsid w:val="005D1CD9"/>
    <w:rsid w:val="005F55EC"/>
    <w:rsid w:val="00603734"/>
    <w:rsid w:val="006122B0"/>
    <w:rsid w:val="006371B4"/>
    <w:rsid w:val="006E1053"/>
    <w:rsid w:val="006E28A3"/>
    <w:rsid w:val="00726016"/>
    <w:rsid w:val="00743C76"/>
    <w:rsid w:val="007451FE"/>
    <w:rsid w:val="00770195"/>
    <w:rsid w:val="00776FAC"/>
    <w:rsid w:val="007A14DB"/>
    <w:rsid w:val="007D66AA"/>
    <w:rsid w:val="00803104"/>
    <w:rsid w:val="00831935"/>
    <w:rsid w:val="0085571A"/>
    <w:rsid w:val="00874D45"/>
    <w:rsid w:val="00880288"/>
    <w:rsid w:val="008D7E17"/>
    <w:rsid w:val="009038E9"/>
    <w:rsid w:val="00917C5B"/>
    <w:rsid w:val="00932ADE"/>
    <w:rsid w:val="0094378C"/>
    <w:rsid w:val="00945280"/>
    <w:rsid w:val="0094530B"/>
    <w:rsid w:val="00974A8B"/>
    <w:rsid w:val="009850E7"/>
    <w:rsid w:val="009D1B66"/>
    <w:rsid w:val="009D218F"/>
    <w:rsid w:val="009F0F21"/>
    <w:rsid w:val="00A12A35"/>
    <w:rsid w:val="00A44FAD"/>
    <w:rsid w:val="00B01345"/>
    <w:rsid w:val="00BD06B7"/>
    <w:rsid w:val="00C02FE8"/>
    <w:rsid w:val="00C12EB4"/>
    <w:rsid w:val="00C4302B"/>
    <w:rsid w:val="00C5645C"/>
    <w:rsid w:val="00C73D04"/>
    <w:rsid w:val="00CD6628"/>
    <w:rsid w:val="00CE4948"/>
    <w:rsid w:val="00D03434"/>
    <w:rsid w:val="00D54F4E"/>
    <w:rsid w:val="00D81CFD"/>
    <w:rsid w:val="00D9567C"/>
    <w:rsid w:val="00DA1047"/>
    <w:rsid w:val="00DA32F2"/>
    <w:rsid w:val="00DC7AC3"/>
    <w:rsid w:val="00DD40D0"/>
    <w:rsid w:val="00E01E57"/>
    <w:rsid w:val="00E36F82"/>
    <w:rsid w:val="00E740BD"/>
    <w:rsid w:val="00E91803"/>
    <w:rsid w:val="00EA4511"/>
    <w:rsid w:val="00EC7D32"/>
    <w:rsid w:val="00ED0886"/>
    <w:rsid w:val="00ED4278"/>
    <w:rsid w:val="00F13533"/>
    <w:rsid w:val="00F159CF"/>
    <w:rsid w:val="00F27203"/>
    <w:rsid w:val="00F60994"/>
    <w:rsid w:val="00F85DFD"/>
    <w:rsid w:val="00FB7503"/>
    <w:rsid w:val="00FC68F1"/>
    <w:rsid w:val="00FD639F"/>
    <w:rsid w:val="00FE6B43"/>
    <w:rsid w:val="00FF10CC"/>
    <w:rsid w:val="00FF7EC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BC83C"/>
  <w15:chartTrackingRefBased/>
  <w15:docId w15:val="{75F3EF73-86C2-42AE-89F4-9EF143E0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63E1"/>
    <w:pPr>
      <w:spacing w:line="256" w:lineRule="auto"/>
    </w:pPr>
    <w:rPr>
      <w:rFonts w:eastAsiaTheme="minorHAnsi"/>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7C5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17C5B"/>
  </w:style>
  <w:style w:type="paragraph" w:styleId="Voettekst">
    <w:name w:val="footer"/>
    <w:basedOn w:val="Standaard"/>
    <w:link w:val="VoettekstChar"/>
    <w:uiPriority w:val="99"/>
    <w:unhideWhenUsed/>
    <w:rsid w:val="00917C5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17C5B"/>
  </w:style>
  <w:style w:type="paragraph" w:styleId="Tekstopmerking">
    <w:name w:val="annotation text"/>
    <w:basedOn w:val="Standaard"/>
    <w:link w:val="TekstopmerkingChar"/>
    <w:uiPriority w:val="99"/>
    <w:unhideWhenUsed/>
    <w:rsid w:val="000563E1"/>
    <w:pPr>
      <w:spacing w:line="240" w:lineRule="auto"/>
    </w:pPr>
    <w:rPr>
      <w:sz w:val="20"/>
      <w:szCs w:val="20"/>
    </w:rPr>
  </w:style>
  <w:style w:type="character" w:customStyle="1" w:styleId="TekstopmerkingChar">
    <w:name w:val="Tekst opmerking Char"/>
    <w:basedOn w:val="Standaardalinea-lettertype"/>
    <w:link w:val="Tekstopmerking"/>
    <w:uiPriority w:val="99"/>
    <w:rsid w:val="000563E1"/>
    <w:rPr>
      <w:sz w:val="20"/>
      <w:szCs w:val="20"/>
      <w:lang w:val="en-US"/>
    </w:rPr>
  </w:style>
  <w:style w:type="paragraph" w:styleId="Lijstalinea">
    <w:name w:val="List Paragraph"/>
    <w:basedOn w:val="Standaard"/>
    <w:uiPriority w:val="34"/>
    <w:qFormat/>
    <w:rsid w:val="000563E1"/>
    <w:pPr>
      <w:ind w:left="720"/>
      <w:contextualSpacing/>
    </w:pPr>
  </w:style>
  <w:style w:type="character" w:styleId="Verwijzingopmerking">
    <w:name w:val="annotation reference"/>
    <w:basedOn w:val="Standaardalinea-lettertype"/>
    <w:uiPriority w:val="99"/>
    <w:semiHidden/>
    <w:unhideWhenUsed/>
    <w:rsid w:val="000563E1"/>
    <w:rPr>
      <w:sz w:val="16"/>
      <w:szCs w:val="16"/>
    </w:rPr>
  </w:style>
  <w:style w:type="character" w:styleId="Hyperlink">
    <w:name w:val="Hyperlink"/>
    <w:basedOn w:val="Standaardalinea-lettertype"/>
    <w:uiPriority w:val="99"/>
    <w:unhideWhenUsed/>
    <w:rsid w:val="000563E1"/>
    <w:rPr>
      <w:color w:val="0000FF"/>
      <w:u w:val="single"/>
    </w:rPr>
  </w:style>
  <w:style w:type="paragraph" w:styleId="Revisie">
    <w:name w:val="Revision"/>
    <w:hidden/>
    <w:uiPriority w:val="99"/>
    <w:semiHidden/>
    <w:rsid w:val="00CE4948"/>
    <w:pPr>
      <w:spacing w:after="0" w:line="240" w:lineRule="auto"/>
    </w:pPr>
    <w:rPr>
      <w:rFonts w:eastAsiaTheme="minorHAnsi"/>
      <w:lang w:val="en-US"/>
    </w:rPr>
  </w:style>
  <w:style w:type="paragraph" w:styleId="Onderwerpvanopmerking">
    <w:name w:val="annotation subject"/>
    <w:basedOn w:val="Tekstopmerking"/>
    <w:next w:val="Tekstopmerking"/>
    <w:link w:val="OnderwerpvanopmerkingChar"/>
    <w:uiPriority w:val="99"/>
    <w:semiHidden/>
    <w:unhideWhenUsed/>
    <w:rsid w:val="00DC7AC3"/>
    <w:rPr>
      <w:b/>
      <w:bCs/>
    </w:rPr>
  </w:style>
  <w:style w:type="character" w:customStyle="1" w:styleId="OnderwerpvanopmerkingChar">
    <w:name w:val="Onderwerp van opmerking Char"/>
    <w:basedOn w:val="TekstopmerkingChar"/>
    <w:link w:val="Onderwerpvanopmerking"/>
    <w:uiPriority w:val="99"/>
    <w:semiHidden/>
    <w:rsid w:val="00DC7AC3"/>
    <w:rPr>
      <w:rFonts w:eastAsiaTheme="minorHAns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09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6465\AppData\Local\Temp\Templafy\WordVsto\cangn5n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ransformationConfigurations":[],"templateName":"Leeg DNB Sjabloon","templateDescription":"","enableDocumentContentUpdater":true,"version":"2.0"}]]></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8D087-B712-4025-89BE-4BBFF1CB43FD}">
  <ds:schemaRefs/>
</ds:datastoreItem>
</file>

<file path=customXml/itemProps2.xml><?xml version="1.0" encoding="utf-8"?>
<ds:datastoreItem xmlns:ds="http://schemas.openxmlformats.org/officeDocument/2006/customXml" ds:itemID="{AA1B2BC0-CCF2-4ACC-A35C-89D3622BE4EA}">
  <ds:schemaRefs/>
</ds:datastoreItem>
</file>

<file path=customXml/itemProps3.xml><?xml version="1.0" encoding="utf-8"?>
<ds:datastoreItem xmlns:ds="http://schemas.openxmlformats.org/officeDocument/2006/customXml" ds:itemID="{5B4A8C76-B2A6-4138-BA19-218DB941174D}">
  <ds:schemaRefs>
    <ds:schemaRef ds:uri="http://schemas.openxmlformats.org/officeDocument/2006/bibliography"/>
  </ds:schemaRefs>
</ds:datastoreItem>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Properties xmlns="http://schemas.openxmlformats.org/officeDocument/2006/extended-properties" xmlns:vt="http://schemas.openxmlformats.org/officeDocument/2006/docPropsVTypes">
  <Template>cangn5n0</Template>
  <TotalTime>1640</TotalTime>
  <Pages>3</Pages>
  <Words>1060</Words>
  <Characters>5833</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Popa, V.G. (Vlad) (EBO_DSH)</dc:creator>
  <cp:keywords/>
  <dc:description/>
  <cp:lastModifiedBy>Popa, V.G. (Vlad) (EBO_DSH)</cp:lastModifiedBy>
  <cp:revision>98</cp:revision>
  <dcterms:created xsi:type="dcterms:W3CDTF">2024-05-21T18:34:00Z</dcterms:created>
  <dcterms:modified xsi:type="dcterms:W3CDTF">2024-07-08T11:35:00Z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dnb</vt:lpwstr>
  </property>
  <property fmtid="{D5CDD505-2E9C-101B-9397-08002B2CF9AE}" pid="3" name="TemplafyTemplateId">
    <vt:lpwstr>637902860015518764</vt:lpwstr>
  </property>
  <property fmtid="{D5CDD505-2E9C-101B-9397-08002B2CF9AE}" pid="4" name="TemplafyUserProfileId">
    <vt:lpwstr>839105724912762885</vt:lpwstr>
  </property>
  <property fmtid="{D5CDD505-2E9C-101B-9397-08002B2CF9AE}" pid="5" name="TemplafyFromBlank">
    <vt:bool>true</vt:bool>
  </property>
</Properties>
</file>