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AC054" w14:textId="77777777" w:rsidR="00301F88" w:rsidRPr="001371D1" w:rsidRDefault="00301F88" w:rsidP="007D0BA6">
      <w:pPr>
        <w:spacing w:after="0" w:line="240" w:lineRule="auto"/>
        <w:jc w:val="center"/>
        <w:rPr>
          <w:rFonts w:ascii="Roboto" w:eastAsia="Times New Roman" w:hAnsi="Roboto" w:cs="Times New Roman"/>
          <w:sz w:val="24"/>
          <w:szCs w:val="24"/>
          <w:lang w:val="en-GB"/>
        </w:rPr>
      </w:pPr>
    </w:p>
    <w:p w14:paraId="2C22FFA2" w14:textId="77777777" w:rsidR="00301F88" w:rsidRPr="00410A97" w:rsidRDefault="00301F88" w:rsidP="007D0BA6">
      <w:pPr>
        <w:spacing w:after="0" w:line="240" w:lineRule="auto"/>
        <w:jc w:val="center"/>
        <w:rPr>
          <w:rFonts w:ascii="Roboto" w:eastAsia="Times New Roman" w:hAnsi="Roboto" w:cs="Times New Roman"/>
          <w:sz w:val="24"/>
          <w:szCs w:val="24"/>
        </w:rPr>
      </w:pPr>
    </w:p>
    <w:p w14:paraId="0079C9B9" w14:textId="4CC100B2" w:rsidR="007D0BA6" w:rsidRDefault="00312A68" w:rsidP="007D0BA6">
      <w:pPr>
        <w:spacing w:after="0" w:line="240" w:lineRule="auto"/>
        <w:jc w:val="center"/>
        <w:rPr>
          <w:rFonts w:ascii="Roboto" w:eastAsia="Times New Roman" w:hAnsi="Roboto" w:cs="Times New Roman"/>
          <w:sz w:val="28"/>
          <w:szCs w:val="28"/>
        </w:rPr>
      </w:pPr>
      <w:proofErr w:type="spellStart"/>
      <w:r>
        <w:rPr>
          <w:rFonts w:ascii="Roboto" w:eastAsia="Times New Roman" w:hAnsi="Roboto" w:cs="Times New Roman"/>
          <w:sz w:val="28"/>
          <w:szCs w:val="28"/>
        </w:rPr>
        <w:t>Msc</w:t>
      </w:r>
      <w:proofErr w:type="spellEnd"/>
      <w:r>
        <w:rPr>
          <w:rFonts w:ascii="Roboto" w:eastAsia="Times New Roman" w:hAnsi="Roboto" w:cs="Times New Roman"/>
          <w:sz w:val="28"/>
          <w:szCs w:val="28"/>
        </w:rPr>
        <w:t xml:space="preserve"> thesis</w:t>
      </w:r>
      <w:r w:rsidR="00B048BA" w:rsidRPr="00410A97">
        <w:rPr>
          <w:rFonts w:ascii="Roboto" w:eastAsia="Times New Roman" w:hAnsi="Roboto" w:cs="Times New Roman"/>
          <w:sz w:val="28"/>
          <w:szCs w:val="28"/>
        </w:rPr>
        <w:t xml:space="preserve"> proposal: </w:t>
      </w:r>
    </w:p>
    <w:p w14:paraId="300FB530" w14:textId="77777777" w:rsidR="00F91586" w:rsidRPr="00410A97" w:rsidRDefault="00F91586" w:rsidP="007D0BA6">
      <w:pPr>
        <w:spacing w:after="0" w:line="240" w:lineRule="auto"/>
        <w:jc w:val="center"/>
        <w:rPr>
          <w:rFonts w:ascii="Roboto" w:eastAsia="Times New Roman" w:hAnsi="Roboto" w:cs="Times New Roman"/>
          <w:sz w:val="28"/>
          <w:szCs w:val="28"/>
        </w:rPr>
      </w:pPr>
    </w:p>
    <w:p w14:paraId="69124B3A" w14:textId="1EF047BB" w:rsidR="000946DF" w:rsidRPr="00410A97" w:rsidRDefault="00312A68" w:rsidP="007D0BA6">
      <w:pPr>
        <w:spacing w:after="0" w:line="240" w:lineRule="auto"/>
        <w:jc w:val="center"/>
        <w:rPr>
          <w:rFonts w:ascii="Roboto" w:eastAsia="Times New Roman" w:hAnsi="Roboto" w:cs="Times New Roman"/>
          <w:sz w:val="32"/>
          <w:szCs w:val="32"/>
        </w:rPr>
      </w:pPr>
      <w:r>
        <w:rPr>
          <w:rFonts w:ascii="Roboto" w:eastAsia="Times New Roman" w:hAnsi="Roboto" w:cs="Times New Roman"/>
          <w:sz w:val="32"/>
          <w:szCs w:val="32"/>
        </w:rPr>
        <w:t>An integrated b</w:t>
      </w:r>
      <w:r w:rsidR="0059588C">
        <w:rPr>
          <w:rFonts w:ascii="Roboto" w:eastAsia="Times New Roman" w:hAnsi="Roboto" w:cs="Times New Roman"/>
          <w:sz w:val="32"/>
          <w:szCs w:val="32"/>
        </w:rPr>
        <w:t>enchmark model for SA-CCR</w:t>
      </w:r>
      <w:r w:rsidR="008C5472">
        <w:rPr>
          <w:rFonts w:ascii="Roboto" w:eastAsia="Times New Roman" w:hAnsi="Roboto" w:cs="Times New Roman"/>
          <w:sz w:val="32"/>
          <w:szCs w:val="32"/>
        </w:rPr>
        <w:t xml:space="preserve"> (Standardized Approach for Counterparty Credit Risk)</w:t>
      </w:r>
      <w:r w:rsidR="0059588C">
        <w:rPr>
          <w:rFonts w:ascii="Roboto" w:eastAsia="Times New Roman" w:hAnsi="Roboto" w:cs="Times New Roman"/>
          <w:sz w:val="32"/>
          <w:szCs w:val="32"/>
        </w:rPr>
        <w:t xml:space="preserve"> </w:t>
      </w:r>
      <w:r w:rsidR="00E12525">
        <w:rPr>
          <w:rFonts w:ascii="Roboto" w:eastAsia="Times New Roman" w:hAnsi="Roboto" w:cs="Times New Roman"/>
          <w:sz w:val="32"/>
          <w:szCs w:val="32"/>
        </w:rPr>
        <w:t xml:space="preserve"> </w:t>
      </w:r>
    </w:p>
    <w:p w14:paraId="153044A2" w14:textId="77777777" w:rsidR="00CE0716" w:rsidRPr="00410A97" w:rsidRDefault="00CE0716" w:rsidP="007D0BA6">
      <w:pPr>
        <w:spacing w:after="0" w:line="240" w:lineRule="auto"/>
        <w:jc w:val="center"/>
        <w:rPr>
          <w:rFonts w:ascii="Roboto" w:eastAsia="Times New Roman" w:hAnsi="Roboto" w:cs="Times New Roman"/>
          <w:sz w:val="24"/>
          <w:szCs w:val="24"/>
        </w:rPr>
      </w:pPr>
    </w:p>
    <w:p w14:paraId="3CF10867" w14:textId="76045A2B" w:rsidR="00B46C3A" w:rsidRPr="00410A97" w:rsidRDefault="00B46C3A" w:rsidP="007D0BA6">
      <w:pPr>
        <w:spacing w:after="0" w:line="240" w:lineRule="auto"/>
        <w:jc w:val="center"/>
        <w:rPr>
          <w:rFonts w:ascii="Roboto" w:eastAsia="Times New Roman" w:hAnsi="Roboto" w:cs="Times New Roman"/>
          <w:sz w:val="24"/>
          <w:szCs w:val="24"/>
        </w:rPr>
      </w:pPr>
      <w:r w:rsidRPr="00410A97">
        <w:rPr>
          <w:rFonts w:ascii="Roboto" w:eastAsia="Times New Roman" w:hAnsi="Roboto" w:cs="Times New Roman"/>
          <w:sz w:val="24"/>
          <w:szCs w:val="24"/>
        </w:rPr>
        <w:t xml:space="preserve">Fang </w:t>
      </w:r>
      <w:proofErr w:type="spellStart"/>
      <w:r w:rsidRPr="00410A97">
        <w:rPr>
          <w:rFonts w:ascii="Roboto" w:eastAsia="Times New Roman" w:hAnsi="Roboto" w:cs="Times New Roman"/>
          <w:sz w:val="24"/>
          <w:szCs w:val="24"/>
        </w:rPr>
        <w:t>Fan</w:t>
      </w:r>
      <w:r w:rsidR="00410A97">
        <w:rPr>
          <w:rFonts w:ascii="Roboto" w:eastAsia="Times New Roman" w:hAnsi="Roboto" w:cs="Times New Roman"/>
          <w:sz w:val="24"/>
          <w:szCs w:val="24"/>
        </w:rPr>
        <w:t>g</w:t>
      </w:r>
      <w:proofErr w:type="spellEnd"/>
      <w:r w:rsidR="004A5A39">
        <w:rPr>
          <w:rStyle w:val="FootnoteReference"/>
          <w:rFonts w:ascii="Roboto" w:eastAsia="Times New Roman" w:hAnsi="Roboto" w:cs="Times New Roman"/>
          <w:sz w:val="24"/>
          <w:szCs w:val="24"/>
        </w:rPr>
        <w:footnoteReference w:id="2"/>
      </w:r>
    </w:p>
    <w:p w14:paraId="592494B2" w14:textId="04404BE3" w:rsidR="00B46C3A" w:rsidRDefault="00B46C3A" w:rsidP="001A191D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31ABED0D" w14:textId="77777777" w:rsidR="00974A00" w:rsidRDefault="00974A00" w:rsidP="001A191D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48F228BE" w14:textId="799BE384" w:rsidR="00F91586" w:rsidRDefault="00F91586" w:rsidP="001A191D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2ECA2892" w14:textId="0B167635" w:rsidR="000D4B07" w:rsidRPr="002D4AC3" w:rsidRDefault="000D4B07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sz w:val="24"/>
          <w:szCs w:val="24"/>
          <w:u w:val="single"/>
        </w:rPr>
      </w:pPr>
      <w:r w:rsidRPr="002D4AC3">
        <w:rPr>
          <w:rFonts w:ascii="Roboto" w:eastAsia="Times New Roman" w:hAnsi="Roboto" w:cs="Times New Roman"/>
          <w:b/>
          <w:bCs/>
          <w:sz w:val="24"/>
          <w:szCs w:val="24"/>
          <w:u w:val="single"/>
        </w:rPr>
        <w:t>Background</w:t>
      </w:r>
    </w:p>
    <w:p w14:paraId="6C5CC880" w14:textId="77777777" w:rsidR="000D4B07" w:rsidRPr="00410A97" w:rsidRDefault="000D4B07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34BDD286" w14:textId="5E584A68" w:rsidR="008C5472" w:rsidRDefault="003B3753" w:rsidP="00BC4B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 w:rsidRPr="003B3753">
        <w:rPr>
          <w:rFonts w:ascii="Roboto" w:eastAsia="Times New Roman" w:hAnsi="Roboto" w:cs="Times New Roman"/>
          <w:sz w:val="24"/>
          <w:szCs w:val="24"/>
        </w:rPr>
        <w:t>The Capital Requirements Regulation (EU) No. 575/2013</w:t>
      </w:r>
      <w:r w:rsidR="00D326CF">
        <w:rPr>
          <w:rFonts w:ascii="Roboto" w:eastAsia="Times New Roman" w:hAnsi="Roboto" w:cs="Times New Roman"/>
          <w:sz w:val="24"/>
          <w:szCs w:val="24"/>
        </w:rPr>
        <w:t>, CRR in short,</w:t>
      </w:r>
      <w:r w:rsidRPr="003B3753">
        <w:rPr>
          <w:rFonts w:ascii="Roboto" w:eastAsia="Times New Roman" w:hAnsi="Roboto" w:cs="Times New Roman"/>
          <w:sz w:val="24"/>
          <w:szCs w:val="24"/>
        </w:rPr>
        <w:t xml:space="preserve"> is an EU law that </w:t>
      </w:r>
      <w:r w:rsidR="00D326CF" w:rsidRPr="003B3753">
        <w:rPr>
          <w:rFonts w:ascii="Roboto" w:eastAsia="Times New Roman" w:hAnsi="Roboto" w:cs="Times New Roman"/>
          <w:sz w:val="24"/>
          <w:szCs w:val="24"/>
        </w:rPr>
        <w:t>reflects Basel III rules on capital measurement and capital standards</w:t>
      </w:r>
      <w:r w:rsidR="00D326CF" w:rsidRPr="003B3753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D326CF">
        <w:rPr>
          <w:rFonts w:ascii="Roboto" w:eastAsia="Times New Roman" w:hAnsi="Roboto" w:cs="Times New Roman"/>
          <w:sz w:val="24"/>
          <w:szCs w:val="24"/>
        </w:rPr>
        <w:t xml:space="preserve">and </w:t>
      </w:r>
      <w:r w:rsidRPr="003B3753">
        <w:rPr>
          <w:rFonts w:ascii="Roboto" w:eastAsia="Times New Roman" w:hAnsi="Roboto" w:cs="Times New Roman"/>
          <w:sz w:val="24"/>
          <w:szCs w:val="24"/>
        </w:rPr>
        <w:t>aims to decrease the likelih</w:t>
      </w:r>
      <w:r w:rsidR="00394B12">
        <w:rPr>
          <w:rFonts w:ascii="Roboto" w:eastAsia="Times New Roman" w:hAnsi="Roboto" w:cs="Times New Roman"/>
          <w:sz w:val="24"/>
          <w:szCs w:val="24"/>
        </w:rPr>
        <w:t xml:space="preserve">ood that banks go insolvent. </w:t>
      </w:r>
      <w:r w:rsidR="00D326CF">
        <w:rPr>
          <w:rFonts w:ascii="Roboto" w:eastAsia="Times New Roman" w:hAnsi="Roboto" w:cs="Times New Roman"/>
          <w:sz w:val="24"/>
          <w:szCs w:val="24"/>
        </w:rPr>
        <w:t>In 2019</w:t>
      </w:r>
      <w:r w:rsidR="008C5472">
        <w:rPr>
          <w:rFonts w:ascii="Roboto" w:eastAsia="Times New Roman" w:hAnsi="Roboto" w:cs="Times New Roman"/>
          <w:sz w:val="24"/>
          <w:szCs w:val="24"/>
        </w:rPr>
        <w:t xml:space="preserve"> fundamental amendments were made to CRR and the new regulations are referred to as CRR2 </w:t>
      </w:r>
      <w:r w:rsidR="008C5472">
        <w:rPr>
          <w:rFonts w:ascii="Roboto" w:eastAsia="Times New Roman" w:hAnsi="Roboto" w:cs="Times New Roman"/>
          <w:sz w:val="24"/>
          <w:szCs w:val="24"/>
        </w:rPr>
        <w:fldChar w:fldCharType="begin"/>
      </w:r>
      <w:r w:rsidR="008C5472">
        <w:rPr>
          <w:rFonts w:ascii="Roboto" w:eastAsia="Times New Roman" w:hAnsi="Roboto" w:cs="Times New Roman"/>
          <w:sz w:val="24"/>
          <w:szCs w:val="24"/>
        </w:rPr>
        <w:instrText xml:space="preserve"> REF _Ref85898877 \r \h </w:instrText>
      </w:r>
      <w:r w:rsidR="008C5472">
        <w:rPr>
          <w:rFonts w:ascii="Roboto" w:eastAsia="Times New Roman" w:hAnsi="Roboto" w:cs="Times New Roman"/>
          <w:sz w:val="24"/>
          <w:szCs w:val="24"/>
        </w:rPr>
      </w:r>
      <w:r w:rsidR="008C5472">
        <w:rPr>
          <w:rFonts w:ascii="Roboto" w:eastAsia="Times New Roman" w:hAnsi="Roboto" w:cs="Times New Roman"/>
          <w:sz w:val="24"/>
          <w:szCs w:val="24"/>
        </w:rPr>
        <w:fldChar w:fldCharType="separate"/>
      </w:r>
      <w:r w:rsidR="008C5472">
        <w:rPr>
          <w:rFonts w:ascii="Roboto" w:eastAsia="Times New Roman" w:hAnsi="Roboto" w:cs="Times New Roman"/>
          <w:sz w:val="24"/>
          <w:szCs w:val="24"/>
        </w:rPr>
        <w:t>[1]</w:t>
      </w:r>
      <w:r w:rsidR="008C5472">
        <w:rPr>
          <w:rFonts w:ascii="Roboto" w:eastAsia="Times New Roman" w:hAnsi="Roboto" w:cs="Times New Roman"/>
          <w:sz w:val="24"/>
          <w:szCs w:val="24"/>
        </w:rPr>
        <w:fldChar w:fldCharType="end"/>
      </w:r>
      <w:r w:rsidR="008C5472">
        <w:rPr>
          <w:rFonts w:ascii="Roboto" w:eastAsia="Times New Roman" w:hAnsi="Roboto" w:cs="Times New Roman"/>
          <w:sz w:val="24"/>
          <w:szCs w:val="24"/>
        </w:rPr>
        <w:t>.</w:t>
      </w:r>
    </w:p>
    <w:p w14:paraId="5C7936CB" w14:textId="77777777" w:rsidR="008C5472" w:rsidRDefault="008C5472" w:rsidP="00BC4B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4A97F7BF" w14:textId="3B2E64B3" w:rsidR="00BC4B75" w:rsidRDefault="00BC4B75" w:rsidP="00BC4B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 xml:space="preserve">The regulations in </w:t>
      </w:r>
      <w:r w:rsidR="00D326CF">
        <w:rPr>
          <w:rFonts w:ascii="Roboto" w:eastAsia="Times New Roman" w:hAnsi="Roboto" w:cs="Times New Roman"/>
          <w:sz w:val="24"/>
          <w:szCs w:val="24"/>
        </w:rPr>
        <w:t xml:space="preserve">both </w:t>
      </w:r>
      <w:r>
        <w:rPr>
          <w:rFonts w:ascii="Roboto" w:eastAsia="Times New Roman" w:hAnsi="Roboto" w:cs="Times New Roman"/>
          <w:sz w:val="24"/>
          <w:szCs w:val="24"/>
        </w:rPr>
        <w:t>CRR</w:t>
      </w:r>
      <w:r w:rsidR="008C5472">
        <w:rPr>
          <w:rFonts w:ascii="Roboto" w:eastAsia="Times New Roman" w:hAnsi="Roboto" w:cs="Times New Roman"/>
          <w:sz w:val="24"/>
          <w:szCs w:val="24"/>
        </w:rPr>
        <w:t xml:space="preserve"> and CRR2 are laid out </w:t>
      </w:r>
      <w:r w:rsidR="00D326CF">
        <w:rPr>
          <w:rFonts w:ascii="Roboto" w:eastAsia="Times New Roman" w:hAnsi="Roboto" w:cs="Times New Roman"/>
          <w:sz w:val="24"/>
          <w:szCs w:val="24"/>
        </w:rPr>
        <w:t>per type. T</w:t>
      </w:r>
      <w:r>
        <w:rPr>
          <w:rFonts w:ascii="Roboto" w:eastAsia="Times New Roman" w:hAnsi="Roboto" w:cs="Times New Roman"/>
          <w:sz w:val="24"/>
          <w:szCs w:val="24"/>
        </w:rPr>
        <w:t xml:space="preserve">he counterparty credit risk </w:t>
      </w:r>
      <w:r w:rsidR="00D326CF">
        <w:rPr>
          <w:rFonts w:ascii="Roboto" w:eastAsia="Times New Roman" w:hAnsi="Roboto" w:cs="Times New Roman"/>
          <w:sz w:val="24"/>
          <w:szCs w:val="24"/>
        </w:rPr>
        <w:t xml:space="preserve">type </w:t>
      </w:r>
      <w:r>
        <w:rPr>
          <w:rFonts w:ascii="Roboto" w:eastAsia="Times New Roman" w:hAnsi="Roboto" w:cs="Times New Roman"/>
          <w:sz w:val="24"/>
          <w:szCs w:val="24"/>
        </w:rPr>
        <w:t xml:space="preserve">is </w:t>
      </w:r>
      <w:r w:rsidR="008C5472">
        <w:rPr>
          <w:rFonts w:ascii="Roboto" w:eastAsia="Times New Roman" w:hAnsi="Roboto" w:cs="Times New Roman"/>
          <w:sz w:val="24"/>
          <w:szCs w:val="24"/>
        </w:rPr>
        <w:t>the subject of this thesis project</w:t>
      </w:r>
      <w:r>
        <w:rPr>
          <w:rFonts w:ascii="Roboto" w:eastAsia="Times New Roman" w:hAnsi="Roboto" w:cs="Times New Roman"/>
          <w:sz w:val="24"/>
          <w:szCs w:val="24"/>
        </w:rPr>
        <w:t xml:space="preserve">. </w:t>
      </w:r>
    </w:p>
    <w:p w14:paraId="025E87EF" w14:textId="77777777" w:rsidR="00BC4B75" w:rsidRDefault="00BC4B75" w:rsidP="00BC4B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25BB0D4E" w14:textId="146B3450" w:rsidR="00BC4B75" w:rsidRPr="00410A97" w:rsidRDefault="00BC4B75" w:rsidP="00BC4B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Counterparty credit risk is the risk</w:t>
      </w:r>
      <w:r w:rsidR="00394B12">
        <w:rPr>
          <w:rFonts w:ascii="Roboto" w:eastAsia="Times New Roman" w:hAnsi="Roboto" w:cs="Times New Roman"/>
          <w:sz w:val="24"/>
          <w:szCs w:val="24"/>
        </w:rPr>
        <w:t xml:space="preserve"> that </w:t>
      </w:r>
      <w:r w:rsidR="008C5472">
        <w:rPr>
          <w:rFonts w:ascii="Roboto" w:eastAsia="Times New Roman" w:hAnsi="Roboto" w:cs="Times New Roman"/>
          <w:sz w:val="24"/>
          <w:szCs w:val="24"/>
        </w:rPr>
        <w:t xml:space="preserve">a </w:t>
      </w:r>
      <w:r w:rsidR="00D326CF">
        <w:rPr>
          <w:rFonts w:ascii="Roboto" w:eastAsia="Times New Roman" w:hAnsi="Roboto" w:cs="Times New Roman"/>
          <w:sz w:val="24"/>
          <w:szCs w:val="24"/>
        </w:rPr>
        <w:t>bank</w:t>
      </w:r>
      <w:r w:rsidR="008C5472">
        <w:rPr>
          <w:rFonts w:ascii="Roboto" w:eastAsia="Times New Roman" w:hAnsi="Roboto" w:cs="Times New Roman"/>
          <w:sz w:val="24"/>
          <w:szCs w:val="24"/>
        </w:rPr>
        <w:t xml:space="preserve"> suffers from </w:t>
      </w:r>
      <w:r w:rsidR="00FF0D65">
        <w:rPr>
          <w:rFonts w:ascii="Roboto" w:eastAsia="Times New Roman" w:hAnsi="Roboto" w:cs="Times New Roman"/>
          <w:sz w:val="24"/>
          <w:szCs w:val="24"/>
        </w:rPr>
        <w:t>Mark-to-market</w:t>
      </w:r>
      <w:r w:rsidR="008C5472">
        <w:rPr>
          <w:rFonts w:ascii="Roboto" w:eastAsia="Times New Roman" w:hAnsi="Roboto" w:cs="Times New Roman"/>
          <w:sz w:val="24"/>
          <w:szCs w:val="24"/>
        </w:rPr>
        <w:t xml:space="preserve"> losses due to </w:t>
      </w:r>
      <w:r w:rsidR="00FF0D65">
        <w:rPr>
          <w:rFonts w:ascii="Roboto" w:eastAsia="Times New Roman" w:hAnsi="Roboto" w:cs="Times New Roman"/>
          <w:sz w:val="24"/>
          <w:szCs w:val="24"/>
        </w:rPr>
        <w:t xml:space="preserve">a </w:t>
      </w:r>
      <w:r>
        <w:rPr>
          <w:rFonts w:ascii="Roboto" w:eastAsia="Times New Roman" w:hAnsi="Roboto" w:cs="Times New Roman"/>
          <w:sz w:val="24"/>
          <w:szCs w:val="24"/>
        </w:rPr>
        <w:t>counterparty</w:t>
      </w:r>
      <w:r w:rsidR="00D326C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FF0D65">
        <w:rPr>
          <w:rFonts w:ascii="Roboto" w:eastAsia="Times New Roman" w:hAnsi="Roboto" w:cs="Times New Roman"/>
          <w:sz w:val="24"/>
          <w:szCs w:val="24"/>
        </w:rPr>
        <w:t xml:space="preserve">it has </w:t>
      </w:r>
      <w:r w:rsidR="00D326CF">
        <w:rPr>
          <w:rFonts w:ascii="Roboto" w:eastAsia="Times New Roman" w:hAnsi="Roboto" w:cs="Times New Roman"/>
          <w:sz w:val="24"/>
          <w:szCs w:val="24"/>
        </w:rPr>
        <w:t xml:space="preserve">in </w:t>
      </w:r>
      <w:r w:rsidR="00FF0D65">
        <w:rPr>
          <w:rFonts w:ascii="Roboto" w:eastAsia="Times New Roman" w:hAnsi="Roboto" w:cs="Times New Roman"/>
          <w:sz w:val="24"/>
          <w:szCs w:val="24"/>
        </w:rPr>
        <w:t>the derivative and/or repo trade(s)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8C5472">
        <w:rPr>
          <w:rFonts w:ascii="Roboto" w:eastAsia="Times New Roman" w:hAnsi="Roboto" w:cs="Times New Roman"/>
          <w:sz w:val="24"/>
          <w:szCs w:val="24"/>
        </w:rPr>
        <w:t xml:space="preserve">going </w:t>
      </w:r>
      <w:r w:rsidR="00FF0D65">
        <w:rPr>
          <w:rFonts w:ascii="Roboto" w:eastAsia="Times New Roman" w:hAnsi="Roboto" w:cs="Times New Roman"/>
          <w:sz w:val="24"/>
          <w:szCs w:val="24"/>
        </w:rPr>
        <w:t>into default</w:t>
      </w:r>
      <w:r>
        <w:rPr>
          <w:rFonts w:ascii="Roboto" w:eastAsia="Times New Roman" w:hAnsi="Roboto" w:cs="Times New Roman"/>
          <w:sz w:val="24"/>
          <w:szCs w:val="24"/>
        </w:rPr>
        <w:t>.</w:t>
      </w:r>
      <w:r w:rsidR="008C5472">
        <w:rPr>
          <w:rFonts w:ascii="Roboto" w:eastAsia="Times New Roman" w:hAnsi="Roboto" w:cs="Times New Roman"/>
          <w:sz w:val="24"/>
          <w:szCs w:val="24"/>
        </w:rPr>
        <w:t xml:space="preserve"> </w:t>
      </w:r>
    </w:p>
    <w:p w14:paraId="62F97266" w14:textId="2BD9F5C6" w:rsidR="00D11B5B" w:rsidRDefault="00D11B5B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63B68186" w14:textId="4E09A35D" w:rsidR="008C5472" w:rsidRPr="00410A97" w:rsidRDefault="008C5472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CRR quantifies the counterparty credit risk using the “loan-equivalent” approach</w:t>
      </w:r>
      <w:r w:rsidR="00FF0D65">
        <w:rPr>
          <w:rFonts w:ascii="Roboto" w:eastAsia="Times New Roman" w:hAnsi="Roboto" w:cs="Times New Roman"/>
          <w:sz w:val="24"/>
          <w:szCs w:val="24"/>
        </w:rPr>
        <w:t>, i.e.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D326CF">
        <w:rPr>
          <w:rFonts w:ascii="Roboto" w:eastAsia="Times New Roman" w:hAnsi="Roboto" w:cs="Times New Roman"/>
          <w:sz w:val="24"/>
          <w:szCs w:val="24"/>
        </w:rPr>
        <w:t xml:space="preserve">an OTC </w:t>
      </w:r>
      <w:r>
        <w:rPr>
          <w:rFonts w:ascii="Roboto" w:eastAsia="Times New Roman" w:hAnsi="Roboto" w:cs="Times New Roman"/>
          <w:sz w:val="24"/>
          <w:szCs w:val="24"/>
        </w:rPr>
        <w:t xml:space="preserve">derivative is </w:t>
      </w:r>
      <w:r w:rsidR="00D326CF">
        <w:rPr>
          <w:rFonts w:ascii="Roboto" w:eastAsia="Times New Roman" w:hAnsi="Roboto" w:cs="Times New Roman"/>
          <w:sz w:val="24"/>
          <w:szCs w:val="24"/>
        </w:rPr>
        <w:t xml:space="preserve">treated </w:t>
      </w:r>
      <w:r>
        <w:rPr>
          <w:rFonts w:ascii="Roboto" w:eastAsia="Times New Roman" w:hAnsi="Roboto" w:cs="Times New Roman"/>
          <w:sz w:val="24"/>
          <w:szCs w:val="24"/>
        </w:rPr>
        <w:t xml:space="preserve">the same </w:t>
      </w:r>
      <w:r w:rsidR="00D326CF">
        <w:rPr>
          <w:rFonts w:ascii="Roboto" w:eastAsia="Times New Roman" w:hAnsi="Roboto" w:cs="Times New Roman"/>
          <w:sz w:val="24"/>
          <w:szCs w:val="24"/>
        </w:rPr>
        <w:t xml:space="preserve">way </w:t>
      </w:r>
      <w:r>
        <w:rPr>
          <w:rFonts w:ascii="Roboto" w:eastAsia="Times New Roman" w:hAnsi="Roboto" w:cs="Times New Roman"/>
          <w:sz w:val="24"/>
          <w:szCs w:val="24"/>
        </w:rPr>
        <w:t>as a loan</w:t>
      </w:r>
      <w:r w:rsidR="00FF0D65">
        <w:rPr>
          <w:rFonts w:ascii="Roboto" w:eastAsia="Times New Roman" w:hAnsi="Roboto" w:cs="Times New Roman"/>
          <w:sz w:val="24"/>
          <w:szCs w:val="24"/>
        </w:rPr>
        <w:t xml:space="preserve"> from </w:t>
      </w:r>
      <w:r w:rsidR="00D326CF">
        <w:rPr>
          <w:rFonts w:ascii="Roboto" w:eastAsia="Times New Roman" w:hAnsi="Roboto" w:cs="Times New Roman"/>
          <w:sz w:val="24"/>
          <w:szCs w:val="24"/>
        </w:rPr>
        <w:t>the banking book</w:t>
      </w:r>
      <w:r w:rsidR="00FF0D65">
        <w:rPr>
          <w:rFonts w:ascii="Roboto" w:eastAsia="Times New Roman" w:hAnsi="Roboto" w:cs="Times New Roman"/>
          <w:sz w:val="24"/>
          <w:szCs w:val="24"/>
        </w:rPr>
        <w:t>, only that</w:t>
      </w:r>
      <w:r w:rsidR="00D326CF">
        <w:rPr>
          <w:rFonts w:ascii="Roboto" w:eastAsia="Times New Roman" w:hAnsi="Roboto" w:cs="Times New Roman"/>
          <w:sz w:val="24"/>
          <w:szCs w:val="24"/>
        </w:rPr>
        <w:t xml:space="preserve"> the Exposure-at-Default (EAD) </w:t>
      </w:r>
      <w:r w:rsidR="00FF0D65">
        <w:rPr>
          <w:rFonts w:ascii="Roboto" w:eastAsia="Times New Roman" w:hAnsi="Roboto" w:cs="Times New Roman"/>
          <w:sz w:val="24"/>
          <w:szCs w:val="24"/>
        </w:rPr>
        <w:t xml:space="preserve">is not known </w:t>
      </w:r>
      <w:r w:rsidR="00D326CF">
        <w:rPr>
          <w:rFonts w:ascii="Roboto" w:eastAsia="Times New Roman" w:hAnsi="Roboto" w:cs="Times New Roman"/>
          <w:sz w:val="24"/>
          <w:szCs w:val="24"/>
        </w:rPr>
        <w:t>upfront</w:t>
      </w:r>
      <w:r w:rsidR="00FF0D65">
        <w:rPr>
          <w:rFonts w:ascii="Roboto" w:eastAsia="Times New Roman" w:hAnsi="Roboto" w:cs="Times New Roman"/>
          <w:sz w:val="24"/>
          <w:szCs w:val="24"/>
        </w:rPr>
        <w:t xml:space="preserve"> and thus needs to be quantified</w:t>
      </w:r>
      <w:r w:rsidR="00D326CF">
        <w:rPr>
          <w:rFonts w:ascii="Roboto" w:eastAsia="Times New Roman" w:hAnsi="Roboto" w:cs="Times New Roman"/>
          <w:sz w:val="24"/>
          <w:szCs w:val="24"/>
        </w:rPr>
        <w:t>.</w:t>
      </w:r>
    </w:p>
    <w:p w14:paraId="6DA39A7E" w14:textId="77777777" w:rsidR="00FF0D65" w:rsidRDefault="00BC4B75" w:rsidP="00FF0D6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 w:rsidRPr="00FF0D65">
        <w:rPr>
          <w:rFonts w:ascii="Roboto" w:eastAsia="Times New Roman" w:hAnsi="Roboto" w:cs="Times New Roman"/>
          <w:sz w:val="24"/>
          <w:szCs w:val="24"/>
        </w:rPr>
        <w:t xml:space="preserve">For calculating the </w:t>
      </w:r>
      <w:r w:rsidR="00D326CF" w:rsidRPr="00FF0D65">
        <w:rPr>
          <w:rFonts w:ascii="Roboto" w:eastAsia="Times New Roman" w:hAnsi="Roboto" w:cs="Times New Roman"/>
          <w:sz w:val="24"/>
          <w:szCs w:val="24"/>
        </w:rPr>
        <w:t>EADs</w:t>
      </w:r>
      <w:r w:rsidRPr="00FF0D65">
        <w:rPr>
          <w:rFonts w:ascii="Roboto" w:eastAsia="Times New Roman" w:hAnsi="Roboto" w:cs="Times New Roman"/>
          <w:sz w:val="24"/>
          <w:szCs w:val="24"/>
        </w:rPr>
        <w:t xml:space="preserve"> of derivative transactions under the counterparty credit risk f</w:t>
      </w:r>
      <w:r w:rsidR="00FF0D65">
        <w:rPr>
          <w:rFonts w:ascii="Roboto" w:eastAsia="Times New Roman" w:hAnsi="Roboto" w:cs="Times New Roman"/>
          <w:sz w:val="24"/>
          <w:szCs w:val="24"/>
        </w:rPr>
        <w:t>ramework, CRR gives banks</w:t>
      </w:r>
      <w:r w:rsidRPr="00FF0D65">
        <w:rPr>
          <w:rFonts w:ascii="Roboto" w:eastAsia="Times New Roman" w:hAnsi="Roboto" w:cs="Times New Roman"/>
          <w:sz w:val="24"/>
          <w:szCs w:val="24"/>
        </w:rPr>
        <w:t xml:space="preserve"> the choice between three different standardized approaches: the </w:t>
      </w:r>
      <w:proofErr w:type="spellStart"/>
      <w:r w:rsidRPr="00FF0D65">
        <w:rPr>
          <w:rFonts w:ascii="Roboto" w:eastAsia="Times New Roman" w:hAnsi="Roboto" w:cs="Times New Roman"/>
          <w:sz w:val="24"/>
          <w:szCs w:val="24"/>
        </w:rPr>
        <w:t>Standardised</w:t>
      </w:r>
      <w:proofErr w:type="spellEnd"/>
      <w:r w:rsidRPr="00FF0D65">
        <w:rPr>
          <w:rFonts w:ascii="Roboto" w:eastAsia="Times New Roman" w:hAnsi="Roboto" w:cs="Times New Roman"/>
          <w:sz w:val="24"/>
          <w:szCs w:val="24"/>
        </w:rPr>
        <w:t xml:space="preserve"> Method (SM), the Mark-to-Market Method (</w:t>
      </w:r>
      <w:proofErr w:type="spellStart"/>
      <w:r w:rsidRPr="00FF0D65">
        <w:rPr>
          <w:rFonts w:ascii="Roboto" w:eastAsia="Times New Roman" w:hAnsi="Roboto" w:cs="Times New Roman"/>
          <w:sz w:val="24"/>
          <w:szCs w:val="24"/>
        </w:rPr>
        <w:t>MtMM</w:t>
      </w:r>
      <w:proofErr w:type="spellEnd"/>
      <w:r w:rsidRPr="00FF0D65">
        <w:rPr>
          <w:rFonts w:ascii="Roboto" w:eastAsia="Times New Roman" w:hAnsi="Roboto" w:cs="Times New Roman"/>
          <w:sz w:val="24"/>
          <w:szCs w:val="24"/>
        </w:rPr>
        <w:t>) and the Original Exposure Method (OEM).</w:t>
      </w:r>
      <w:r w:rsidR="00394B12" w:rsidRPr="00FF0D65"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FF0D65">
        <w:rPr>
          <w:rFonts w:ascii="Roboto" w:eastAsia="Times New Roman" w:hAnsi="Roboto" w:cs="Times New Roman"/>
          <w:sz w:val="24"/>
          <w:szCs w:val="24"/>
        </w:rPr>
        <w:t xml:space="preserve">Those </w:t>
      </w:r>
      <w:proofErr w:type="spellStart"/>
      <w:r w:rsidRPr="00FF0D65">
        <w:rPr>
          <w:rFonts w:ascii="Roboto" w:eastAsia="Times New Roman" w:hAnsi="Roboto" w:cs="Times New Roman"/>
          <w:sz w:val="24"/>
          <w:szCs w:val="24"/>
        </w:rPr>
        <w:t>standardised</w:t>
      </w:r>
      <w:proofErr w:type="spellEnd"/>
      <w:r w:rsidRPr="00FF0D65">
        <w:rPr>
          <w:rFonts w:ascii="Roboto" w:eastAsia="Times New Roman" w:hAnsi="Roboto" w:cs="Times New Roman"/>
          <w:sz w:val="24"/>
          <w:szCs w:val="24"/>
        </w:rPr>
        <w:t xml:space="preserve"> approaches however do not </w:t>
      </w:r>
      <w:proofErr w:type="spellStart"/>
      <w:r w:rsidRPr="00FF0D65">
        <w:rPr>
          <w:rFonts w:ascii="Roboto" w:eastAsia="Times New Roman" w:hAnsi="Roboto" w:cs="Times New Roman"/>
          <w:sz w:val="24"/>
          <w:szCs w:val="24"/>
        </w:rPr>
        <w:t>recognise</w:t>
      </w:r>
      <w:proofErr w:type="spellEnd"/>
      <w:r w:rsidRPr="00FF0D65">
        <w:rPr>
          <w:rFonts w:ascii="Roboto" w:eastAsia="Times New Roman" w:hAnsi="Roboto" w:cs="Times New Roman"/>
          <w:sz w:val="24"/>
          <w:szCs w:val="24"/>
        </w:rPr>
        <w:t xml:space="preserve"> appropriately the risk-reducing nature of collateral in the exposures. Their calibrations are outdated and they do not reflect the high level of volatility observed during the financial crisis. Neither do they </w:t>
      </w:r>
      <w:proofErr w:type="spellStart"/>
      <w:r w:rsidRPr="00FF0D65">
        <w:rPr>
          <w:rFonts w:ascii="Roboto" w:eastAsia="Times New Roman" w:hAnsi="Roboto" w:cs="Times New Roman"/>
          <w:sz w:val="24"/>
          <w:szCs w:val="24"/>
        </w:rPr>
        <w:t>recognise</w:t>
      </w:r>
      <w:proofErr w:type="spellEnd"/>
      <w:r w:rsidRPr="00FF0D65">
        <w:rPr>
          <w:rFonts w:ascii="Roboto" w:eastAsia="Times New Roman" w:hAnsi="Roboto" w:cs="Times New Roman"/>
          <w:sz w:val="24"/>
          <w:szCs w:val="24"/>
        </w:rPr>
        <w:t xml:space="preserve"> appropriately netting benefits.</w:t>
      </w:r>
    </w:p>
    <w:p w14:paraId="4A2F5452" w14:textId="77777777" w:rsidR="00FF0D65" w:rsidRDefault="00FF0D65" w:rsidP="00FF0D6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64DEF36F" w14:textId="77777777" w:rsidR="00FF0D65" w:rsidRDefault="00FF0D65" w:rsidP="00FF0D6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 w:rsidRPr="00FF0D65">
        <w:rPr>
          <w:rFonts w:ascii="Roboto" w:eastAsia="Times New Roman" w:hAnsi="Roboto" w:cs="Times New Roman"/>
          <w:sz w:val="24"/>
          <w:szCs w:val="24"/>
        </w:rPr>
        <w:t xml:space="preserve">To address those shortcomings, the Basel Committee decided to replace the SM and the </w:t>
      </w:r>
      <w:proofErr w:type="spellStart"/>
      <w:r w:rsidRPr="00FF0D65">
        <w:rPr>
          <w:rFonts w:ascii="Roboto" w:eastAsia="Times New Roman" w:hAnsi="Roboto" w:cs="Times New Roman"/>
          <w:sz w:val="24"/>
          <w:szCs w:val="24"/>
        </w:rPr>
        <w:t>MtMM</w:t>
      </w:r>
      <w:proofErr w:type="spellEnd"/>
      <w:r w:rsidRPr="00FF0D65">
        <w:rPr>
          <w:rFonts w:ascii="Roboto" w:eastAsia="Times New Roman" w:hAnsi="Roboto" w:cs="Times New Roman"/>
          <w:sz w:val="24"/>
          <w:szCs w:val="24"/>
        </w:rPr>
        <w:t xml:space="preserve"> with a new </w:t>
      </w:r>
      <w:proofErr w:type="spellStart"/>
      <w:r w:rsidRPr="00FF0D65">
        <w:rPr>
          <w:rFonts w:ascii="Roboto" w:eastAsia="Times New Roman" w:hAnsi="Roboto" w:cs="Times New Roman"/>
          <w:sz w:val="24"/>
          <w:szCs w:val="24"/>
        </w:rPr>
        <w:t>standardised</w:t>
      </w:r>
      <w:proofErr w:type="spellEnd"/>
      <w:r w:rsidRPr="00FF0D65">
        <w:rPr>
          <w:rFonts w:ascii="Roboto" w:eastAsia="Times New Roman" w:hAnsi="Roboto" w:cs="Times New Roman"/>
          <w:sz w:val="24"/>
          <w:szCs w:val="24"/>
        </w:rPr>
        <w:t xml:space="preserve"> approach for computing the exposure value of derivative exposures, the so-called </w:t>
      </w:r>
      <w:proofErr w:type="spellStart"/>
      <w:r w:rsidRPr="00FF0D65">
        <w:rPr>
          <w:rFonts w:ascii="Roboto" w:eastAsia="Times New Roman" w:hAnsi="Roboto" w:cs="Times New Roman"/>
          <w:sz w:val="24"/>
          <w:szCs w:val="24"/>
        </w:rPr>
        <w:t>Standardised</w:t>
      </w:r>
      <w:proofErr w:type="spellEnd"/>
      <w:r w:rsidRPr="00FF0D65">
        <w:rPr>
          <w:rFonts w:ascii="Roboto" w:eastAsia="Times New Roman" w:hAnsi="Roboto" w:cs="Times New Roman"/>
          <w:sz w:val="24"/>
          <w:szCs w:val="24"/>
        </w:rPr>
        <w:t xml:space="preserve"> Approach for Counterparty Credit Risk (SA-CCR). </w:t>
      </w:r>
      <w:r>
        <w:rPr>
          <w:rFonts w:ascii="Roboto" w:eastAsia="Times New Roman" w:hAnsi="Roboto" w:cs="Times New Roman"/>
          <w:sz w:val="24"/>
          <w:szCs w:val="24"/>
        </w:rPr>
        <w:t xml:space="preserve">CRR2 </w:t>
      </w:r>
      <w:r w:rsidR="00BC4B75" w:rsidRPr="00394B12">
        <w:rPr>
          <w:rFonts w:ascii="Roboto" w:eastAsia="Times New Roman" w:hAnsi="Roboto" w:cs="Times New Roman"/>
          <w:sz w:val="24"/>
          <w:szCs w:val="24"/>
        </w:rPr>
        <w:t xml:space="preserve">incorporated those standards. </w:t>
      </w:r>
    </w:p>
    <w:p w14:paraId="49726DDB" w14:textId="77777777" w:rsidR="00FF0D65" w:rsidRDefault="00FF0D65" w:rsidP="00FF0D6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3FD5EABE" w14:textId="73E1A4E1" w:rsidR="001375AF" w:rsidRPr="00394B12" w:rsidRDefault="00BC4B75" w:rsidP="00FF0D6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 w:rsidRPr="00394B12">
        <w:rPr>
          <w:rFonts w:ascii="Roboto" w:eastAsia="Times New Roman" w:hAnsi="Roboto" w:cs="Times New Roman"/>
          <w:sz w:val="24"/>
          <w:szCs w:val="24"/>
        </w:rPr>
        <w:t xml:space="preserve">The SA-CCR is more risk sensitive than the SM and the </w:t>
      </w:r>
      <w:proofErr w:type="spellStart"/>
      <w:r w:rsidRPr="00394B12">
        <w:rPr>
          <w:rFonts w:ascii="Roboto" w:eastAsia="Times New Roman" w:hAnsi="Roboto" w:cs="Times New Roman"/>
          <w:sz w:val="24"/>
          <w:szCs w:val="24"/>
        </w:rPr>
        <w:t>MtMM</w:t>
      </w:r>
      <w:proofErr w:type="spellEnd"/>
      <w:r w:rsidRPr="00394B12">
        <w:rPr>
          <w:rFonts w:ascii="Roboto" w:eastAsia="Times New Roman" w:hAnsi="Roboto" w:cs="Times New Roman"/>
          <w:sz w:val="24"/>
          <w:szCs w:val="24"/>
        </w:rPr>
        <w:t xml:space="preserve"> and should therefore lead to own funds requirements that better reflect the risks related to institutions' derivative transactions. </w:t>
      </w:r>
    </w:p>
    <w:p w14:paraId="4767AEF2" w14:textId="7F306C7E" w:rsidR="00974A00" w:rsidRPr="00410A97" w:rsidRDefault="00974A00" w:rsidP="00974A00">
      <w:pPr>
        <w:pStyle w:val="ListParagraph"/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br/>
      </w:r>
    </w:p>
    <w:p w14:paraId="53628CE4" w14:textId="34A354EF" w:rsidR="001375AF" w:rsidRPr="002D4AC3" w:rsidRDefault="001375AF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sz w:val="24"/>
          <w:szCs w:val="24"/>
          <w:u w:val="single"/>
        </w:rPr>
      </w:pPr>
      <w:r w:rsidRPr="002D4AC3">
        <w:rPr>
          <w:rFonts w:ascii="Roboto" w:eastAsia="Times New Roman" w:hAnsi="Roboto" w:cs="Times New Roman"/>
          <w:b/>
          <w:bCs/>
          <w:sz w:val="24"/>
          <w:szCs w:val="24"/>
          <w:u w:val="single"/>
        </w:rPr>
        <w:lastRenderedPageBreak/>
        <w:t>Challenge</w:t>
      </w:r>
    </w:p>
    <w:p w14:paraId="582D058A" w14:textId="77777777" w:rsidR="001375AF" w:rsidRPr="00410A97" w:rsidRDefault="001375AF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30EBE0FA" w14:textId="1F24FF95" w:rsidR="00312A68" w:rsidRDefault="008554B0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CRR2 is, however, still based on the loan-equivalent approach. More precisely, t</w:t>
      </w:r>
      <w:r w:rsidR="00312A68">
        <w:rPr>
          <w:rFonts w:ascii="Roboto" w:eastAsia="Times New Roman" w:hAnsi="Roboto" w:cs="Times New Roman"/>
          <w:sz w:val="24"/>
          <w:szCs w:val="24"/>
        </w:rPr>
        <w:t>he capital requirements for counterparty credit risk are calculated as alpha*EAD*LGD*PD*</w:t>
      </w:r>
      <w:proofErr w:type="spellStart"/>
      <w:r w:rsidR="00312A68">
        <w:rPr>
          <w:rFonts w:ascii="Roboto" w:eastAsia="Times New Roman" w:hAnsi="Roboto" w:cs="Times New Roman"/>
          <w:sz w:val="24"/>
          <w:szCs w:val="24"/>
        </w:rPr>
        <w:t>Maturity_adjustments</w:t>
      </w:r>
      <w:proofErr w:type="spellEnd"/>
      <w:r w:rsidR="00312A68">
        <w:rPr>
          <w:rFonts w:ascii="Roboto" w:eastAsia="Times New Roman" w:hAnsi="Roboto" w:cs="Times New Roman"/>
          <w:sz w:val="24"/>
          <w:szCs w:val="24"/>
        </w:rPr>
        <w:t xml:space="preserve">. </w:t>
      </w:r>
    </w:p>
    <w:p w14:paraId="4431BD81" w14:textId="77777777" w:rsidR="00312A68" w:rsidRDefault="00312A68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3FB8C9E5" w14:textId="325E9D58" w:rsidR="00312A68" w:rsidRDefault="00312A68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 xml:space="preserve">The outcome of </w:t>
      </w:r>
      <w:r w:rsidR="008554B0">
        <w:rPr>
          <w:rFonts w:ascii="Roboto" w:eastAsia="Times New Roman" w:hAnsi="Roboto" w:cs="Times New Roman"/>
          <w:sz w:val="24"/>
          <w:szCs w:val="24"/>
        </w:rPr>
        <w:t>the SA-CCR calculations is</w:t>
      </w:r>
      <w:r>
        <w:rPr>
          <w:rFonts w:ascii="Roboto" w:eastAsia="Times New Roman" w:hAnsi="Roboto" w:cs="Times New Roman"/>
          <w:sz w:val="24"/>
          <w:szCs w:val="24"/>
        </w:rPr>
        <w:t xml:space="preserve"> the EAD</w:t>
      </w:r>
      <w:r w:rsidR="00394B12">
        <w:rPr>
          <w:rFonts w:ascii="Roboto" w:eastAsia="Times New Roman" w:hAnsi="Roboto" w:cs="Times New Roman"/>
          <w:sz w:val="24"/>
          <w:szCs w:val="24"/>
        </w:rPr>
        <w:t>s</w:t>
      </w:r>
      <w:r>
        <w:rPr>
          <w:rFonts w:ascii="Roboto" w:eastAsia="Times New Roman" w:hAnsi="Roboto" w:cs="Times New Roman"/>
          <w:sz w:val="24"/>
          <w:szCs w:val="24"/>
        </w:rPr>
        <w:t>. Usually LGD (Loss-at-default) and PD (probability of default) are exported from the credit risk models</w:t>
      </w:r>
      <w:r w:rsidR="008554B0">
        <w:rPr>
          <w:rFonts w:ascii="Roboto" w:eastAsia="Times New Roman" w:hAnsi="Roboto" w:cs="Times New Roman"/>
          <w:sz w:val="24"/>
          <w:szCs w:val="24"/>
        </w:rPr>
        <w:t xml:space="preserve"> designed for loans in the banking book</w:t>
      </w:r>
      <w:r>
        <w:rPr>
          <w:rFonts w:ascii="Roboto" w:eastAsia="Times New Roman" w:hAnsi="Roboto" w:cs="Times New Roman"/>
          <w:sz w:val="24"/>
          <w:szCs w:val="24"/>
        </w:rPr>
        <w:t xml:space="preserve">. </w:t>
      </w:r>
    </w:p>
    <w:p w14:paraId="55ACA5B7" w14:textId="7A6324FB" w:rsidR="00312A68" w:rsidRDefault="00312A68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56345E78" w14:textId="77777777" w:rsidR="008554B0" w:rsidRDefault="008554B0" w:rsidP="001E74A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 xml:space="preserve">One can see that there is no interconnection between EAD and LGD or PD in the “loan-equivalent” approach. In practice, however, there can be a positive correlation between EAD and LGD or between EAD and PD, which is referred to as “wrong-way risk”. </w:t>
      </w:r>
      <w:r w:rsidR="00312A68">
        <w:rPr>
          <w:rFonts w:ascii="Roboto" w:eastAsia="Times New Roman" w:hAnsi="Roboto" w:cs="Times New Roman"/>
          <w:sz w:val="24"/>
          <w:szCs w:val="24"/>
        </w:rPr>
        <w:t xml:space="preserve">The factor </w:t>
      </w:r>
      <w:r>
        <w:rPr>
          <w:rFonts w:ascii="Roboto" w:eastAsia="Times New Roman" w:hAnsi="Roboto" w:cs="Times New Roman"/>
          <w:sz w:val="24"/>
          <w:szCs w:val="24"/>
        </w:rPr>
        <w:t>“</w:t>
      </w:r>
      <w:r w:rsidR="00312A68">
        <w:rPr>
          <w:rFonts w:ascii="Roboto" w:eastAsia="Times New Roman" w:hAnsi="Roboto" w:cs="Times New Roman"/>
          <w:sz w:val="24"/>
          <w:szCs w:val="24"/>
        </w:rPr>
        <w:t>alpha</w:t>
      </w:r>
      <w:r>
        <w:rPr>
          <w:rFonts w:ascii="Roboto" w:eastAsia="Times New Roman" w:hAnsi="Roboto" w:cs="Times New Roman"/>
          <w:sz w:val="24"/>
          <w:szCs w:val="24"/>
        </w:rPr>
        <w:t>” is designed to compensate for the</w:t>
      </w:r>
      <w:r w:rsidR="00312A68">
        <w:rPr>
          <w:rFonts w:ascii="Roboto" w:eastAsia="Times New Roman" w:hAnsi="Roboto" w:cs="Times New Roman"/>
          <w:sz w:val="24"/>
          <w:szCs w:val="24"/>
        </w:rPr>
        <w:t xml:space="preserve"> wrong-way-risk</w:t>
      </w:r>
      <w:r>
        <w:rPr>
          <w:rFonts w:ascii="Roboto" w:eastAsia="Times New Roman" w:hAnsi="Roboto" w:cs="Times New Roman"/>
          <w:sz w:val="24"/>
          <w:szCs w:val="24"/>
        </w:rPr>
        <w:t xml:space="preserve"> somehow. </w:t>
      </w:r>
      <w:r w:rsidR="00312A68">
        <w:rPr>
          <w:rFonts w:ascii="Roboto" w:eastAsia="Times New Roman" w:hAnsi="Roboto" w:cs="Times New Roman"/>
          <w:sz w:val="24"/>
          <w:szCs w:val="24"/>
        </w:rPr>
        <w:t xml:space="preserve"> </w:t>
      </w:r>
    </w:p>
    <w:p w14:paraId="739E7E08" w14:textId="77777777" w:rsidR="008554B0" w:rsidRDefault="008554B0" w:rsidP="001E74A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265841C9" w14:textId="1D792144" w:rsidR="001E74AB" w:rsidRDefault="008554B0" w:rsidP="001E74A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I</w:t>
      </w:r>
      <w:r w:rsidR="00152E25">
        <w:rPr>
          <w:rFonts w:ascii="Roboto" w:eastAsia="Times New Roman" w:hAnsi="Roboto" w:cs="Times New Roman"/>
          <w:sz w:val="24"/>
          <w:szCs w:val="24"/>
        </w:rPr>
        <w:t xml:space="preserve">t is </w:t>
      </w:r>
      <w:r>
        <w:rPr>
          <w:rFonts w:ascii="Roboto" w:eastAsia="Times New Roman" w:hAnsi="Roboto" w:cs="Times New Roman"/>
          <w:sz w:val="24"/>
          <w:szCs w:val="24"/>
        </w:rPr>
        <w:t>thus questionable whether the</w:t>
      </w:r>
      <w:r w:rsidR="00152E25">
        <w:rPr>
          <w:rFonts w:ascii="Roboto" w:eastAsia="Times New Roman" w:hAnsi="Roboto" w:cs="Times New Roman"/>
          <w:sz w:val="24"/>
          <w:szCs w:val="24"/>
        </w:rPr>
        <w:t xml:space="preserve"> loan-equi</w:t>
      </w:r>
      <w:r>
        <w:rPr>
          <w:rFonts w:ascii="Roboto" w:eastAsia="Times New Roman" w:hAnsi="Roboto" w:cs="Times New Roman"/>
          <w:sz w:val="24"/>
          <w:szCs w:val="24"/>
        </w:rPr>
        <w:t>valent approach would properly capture the wrong-way-risk</w:t>
      </w:r>
      <w:r w:rsidR="00394B12">
        <w:rPr>
          <w:rFonts w:ascii="Roboto" w:eastAsia="Times New Roman" w:hAnsi="Roboto" w:cs="Times New Roman"/>
          <w:sz w:val="24"/>
          <w:szCs w:val="24"/>
        </w:rPr>
        <w:t>.</w:t>
      </w:r>
    </w:p>
    <w:p w14:paraId="7B7997B7" w14:textId="0C9D0DEA" w:rsidR="00DD3B34" w:rsidRDefault="00DD3B34" w:rsidP="001E74A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002B8834" w14:textId="77777777" w:rsidR="00D11B5B" w:rsidRDefault="00D11B5B" w:rsidP="001E74A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092209A9" w14:textId="3853BA86" w:rsidR="000D4B07" w:rsidRPr="002D4AC3" w:rsidRDefault="001375AF" w:rsidP="005B2A41">
      <w:pPr>
        <w:rPr>
          <w:rFonts w:ascii="Roboto" w:eastAsia="Times New Roman" w:hAnsi="Roboto" w:cs="Times New Roman"/>
          <w:b/>
          <w:bCs/>
          <w:sz w:val="24"/>
          <w:szCs w:val="24"/>
          <w:u w:val="single"/>
        </w:rPr>
      </w:pPr>
      <w:r w:rsidRPr="002D4AC3">
        <w:rPr>
          <w:rFonts w:ascii="Roboto" w:eastAsia="Times New Roman" w:hAnsi="Roboto" w:cs="Times New Roman"/>
          <w:b/>
          <w:bCs/>
          <w:sz w:val="24"/>
          <w:szCs w:val="24"/>
          <w:u w:val="single"/>
        </w:rPr>
        <w:t>Topic</w:t>
      </w:r>
      <w:r w:rsidR="000D4B07" w:rsidRPr="002D4AC3">
        <w:rPr>
          <w:rFonts w:ascii="Roboto" w:eastAsia="Times New Roman" w:hAnsi="Roboto" w:cs="Times New Roman"/>
          <w:b/>
          <w:bCs/>
          <w:sz w:val="24"/>
          <w:szCs w:val="24"/>
          <w:u w:val="single"/>
        </w:rPr>
        <w:t xml:space="preserve"> of this </w:t>
      </w:r>
      <w:r w:rsidR="008554B0">
        <w:rPr>
          <w:rFonts w:ascii="Roboto" w:eastAsia="Times New Roman" w:hAnsi="Roboto" w:cs="Times New Roman"/>
          <w:b/>
          <w:bCs/>
          <w:sz w:val="24"/>
          <w:szCs w:val="24"/>
          <w:u w:val="single"/>
        </w:rPr>
        <w:t>t</w:t>
      </w:r>
      <w:r w:rsidR="00152E25">
        <w:rPr>
          <w:rFonts w:ascii="Roboto" w:eastAsia="Times New Roman" w:hAnsi="Roboto" w:cs="Times New Roman"/>
          <w:b/>
          <w:bCs/>
          <w:sz w:val="24"/>
          <w:szCs w:val="24"/>
          <w:u w:val="single"/>
        </w:rPr>
        <w:t>hesis</w:t>
      </w:r>
    </w:p>
    <w:p w14:paraId="5858016D" w14:textId="084541EB" w:rsidR="000D4B07" w:rsidRDefault="000D4B07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5B00D75D" w14:textId="5E4BCA91" w:rsidR="00152E25" w:rsidRDefault="00B949CE" w:rsidP="00B949CE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The topic of</w:t>
      </w:r>
      <w:r w:rsidR="001E74AB">
        <w:rPr>
          <w:rFonts w:ascii="Roboto" w:eastAsia="Times New Roman" w:hAnsi="Roboto" w:cs="Times New Roman"/>
          <w:sz w:val="24"/>
          <w:szCs w:val="24"/>
        </w:rPr>
        <w:t xml:space="preserve"> </w:t>
      </w:r>
      <w:r>
        <w:rPr>
          <w:rFonts w:ascii="Roboto" w:eastAsia="Times New Roman" w:hAnsi="Roboto" w:cs="Times New Roman"/>
          <w:sz w:val="24"/>
          <w:szCs w:val="24"/>
        </w:rPr>
        <w:t xml:space="preserve">this </w:t>
      </w:r>
      <w:r w:rsidR="00152E25">
        <w:rPr>
          <w:rFonts w:ascii="Roboto" w:eastAsia="Times New Roman" w:hAnsi="Roboto" w:cs="Times New Roman"/>
          <w:sz w:val="24"/>
          <w:szCs w:val="24"/>
        </w:rPr>
        <w:t>thesis</w:t>
      </w:r>
      <w:r w:rsidR="001E74AB">
        <w:rPr>
          <w:rFonts w:ascii="Roboto" w:eastAsia="Times New Roman" w:hAnsi="Roboto" w:cs="Times New Roman"/>
          <w:sz w:val="24"/>
          <w:szCs w:val="24"/>
        </w:rPr>
        <w:t xml:space="preserve"> project</w:t>
      </w:r>
      <w:r w:rsidR="000946DF" w:rsidRPr="000946D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A36DFA">
        <w:rPr>
          <w:rFonts w:ascii="Roboto" w:eastAsia="Times New Roman" w:hAnsi="Roboto" w:cs="Times New Roman"/>
          <w:sz w:val="24"/>
          <w:szCs w:val="24"/>
        </w:rPr>
        <w:t xml:space="preserve">is </w:t>
      </w:r>
      <w:r>
        <w:rPr>
          <w:rFonts w:ascii="Roboto" w:eastAsia="Times New Roman" w:hAnsi="Roboto" w:cs="Times New Roman"/>
          <w:sz w:val="24"/>
          <w:szCs w:val="24"/>
        </w:rPr>
        <w:t xml:space="preserve">to </w:t>
      </w:r>
      <w:r w:rsidR="00152E25">
        <w:rPr>
          <w:rFonts w:ascii="Roboto" w:eastAsia="Times New Roman" w:hAnsi="Roboto" w:cs="Times New Roman"/>
          <w:sz w:val="24"/>
          <w:szCs w:val="24"/>
        </w:rPr>
        <w:t>build an integrated benchmark model</w:t>
      </w:r>
      <w:r w:rsidRPr="00B949CE">
        <w:rPr>
          <w:rFonts w:ascii="Roboto" w:eastAsia="Times New Roman" w:hAnsi="Roboto" w:cs="Times New Roman"/>
          <w:sz w:val="24"/>
          <w:szCs w:val="24"/>
        </w:rPr>
        <w:t xml:space="preserve"> for</w:t>
      </w:r>
      <w:r w:rsidR="00152E25">
        <w:rPr>
          <w:rFonts w:ascii="Roboto" w:eastAsia="Times New Roman" w:hAnsi="Roboto" w:cs="Times New Roman"/>
          <w:sz w:val="24"/>
          <w:szCs w:val="24"/>
        </w:rPr>
        <w:t xml:space="preserve"> SA-CCR. This model is named “integrated”</w:t>
      </w:r>
      <w:r w:rsidRPr="00B949CE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152E25">
        <w:rPr>
          <w:rFonts w:ascii="Roboto" w:eastAsia="Times New Roman" w:hAnsi="Roboto" w:cs="Times New Roman"/>
          <w:sz w:val="24"/>
          <w:szCs w:val="24"/>
        </w:rPr>
        <w:t xml:space="preserve">because we </w:t>
      </w:r>
      <w:r w:rsidR="008554B0">
        <w:rPr>
          <w:rFonts w:ascii="Roboto" w:eastAsia="Times New Roman" w:hAnsi="Roboto" w:cs="Times New Roman"/>
          <w:sz w:val="24"/>
          <w:szCs w:val="24"/>
        </w:rPr>
        <w:t xml:space="preserve">will </w:t>
      </w:r>
      <w:r w:rsidR="00152E25">
        <w:rPr>
          <w:rFonts w:ascii="Roboto" w:eastAsia="Times New Roman" w:hAnsi="Roboto" w:cs="Times New Roman"/>
          <w:sz w:val="24"/>
          <w:szCs w:val="24"/>
        </w:rPr>
        <w:t xml:space="preserve">directly simulate the default events of all counterparties </w:t>
      </w:r>
      <w:r w:rsidR="008554B0">
        <w:rPr>
          <w:rFonts w:ascii="Roboto" w:eastAsia="Times New Roman" w:hAnsi="Roboto" w:cs="Times New Roman"/>
          <w:sz w:val="24"/>
          <w:szCs w:val="24"/>
        </w:rPr>
        <w:t xml:space="preserve">while simulating the </w:t>
      </w:r>
      <w:proofErr w:type="spellStart"/>
      <w:r w:rsidR="008554B0">
        <w:rPr>
          <w:rFonts w:ascii="Roboto" w:eastAsia="Times New Roman" w:hAnsi="Roboto" w:cs="Times New Roman"/>
          <w:sz w:val="24"/>
          <w:szCs w:val="24"/>
        </w:rPr>
        <w:t>MtM</w:t>
      </w:r>
      <w:proofErr w:type="spellEnd"/>
      <w:r w:rsidR="008554B0">
        <w:rPr>
          <w:rFonts w:ascii="Roboto" w:eastAsia="Times New Roman" w:hAnsi="Roboto" w:cs="Times New Roman"/>
          <w:sz w:val="24"/>
          <w:szCs w:val="24"/>
        </w:rPr>
        <w:t xml:space="preserve"> values of the derivatives, </w:t>
      </w:r>
      <w:r w:rsidR="00152E25">
        <w:rPr>
          <w:rFonts w:ascii="Roboto" w:eastAsia="Times New Roman" w:hAnsi="Roboto" w:cs="Times New Roman"/>
          <w:sz w:val="24"/>
          <w:szCs w:val="24"/>
        </w:rPr>
        <w:t xml:space="preserve">instead of </w:t>
      </w:r>
      <w:r w:rsidR="008554B0">
        <w:rPr>
          <w:rFonts w:ascii="Roboto" w:eastAsia="Times New Roman" w:hAnsi="Roboto" w:cs="Times New Roman"/>
          <w:sz w:val="24"/>
          <w:szCs w:val="24"/>
        </w:rPr>
        <w:t xml:space="preserve">separating the two as does </w:t>
      </w:r>
      <w:r w:rsidR="00152E25">
        <w:rPr>
          <w:rFonts w:ascii="Roboto" w:eastAsia="Times New Roman" w:hAnsi="Roboto" w:cs="Times New Roman"/>
          <w:sz w:val="24"/>
          <w:szCs w:val="24"/>
        </w:rPr>
        <w:t xml:space="preserve">the loan-equivalent approach. </w:t>
      </w:r>
    </w:p>
    <w:p w14:paraId="3A4BD5F7" w14:textId="4630F7B2" w:rsidR="00152E25" w:rsidRDefault="00152E25" w:rsidP="00B949CE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31843334" w14:textId="1A0FFA29" w:rsidR="00A84415" w:rsidRDefault="0035568C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Under the guidance of a senior Quant</w:t>
      </w:r>
      <w:r w:rsidR="00152E25">
        <w:rPr>
          <w:rFonts w:ascii="Roboto" w:eastAsia="Times New Roman" w:hAnsi="Roboto" w:cs="Times New Roman"/>
          <w:sz w:val="24"/>
          <w:szCs w:val="24"/>
        </w:rPr>
        <w:t>, the student</w:t>
      </w:r>
      <w:r w:rsidR="00B949CE">
        <w:rPr>
          <w:rFonts w:ascii="Roboto" w:eastAsia="Times New Roman" w:hAnsi="Roboto" w:cs="Times New Roman"/>
          <w:sz w:val="24"/>
          <w:szCs w:val="24"/>
        </w:rPr>
        <w:t xml:space="preserve"> is expected to</w:t>
      </w:r>
    </w:p>
    <w:p w14:paraId="2E5175C1" w14:textId="36ED64E5" w:rsidR="002D116A" w:rsidRDefault="00152E25" w:rsidP="002D116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 xml:space="preserve">Build a simple simulation model for interest rate (IR) and FX rate; </w:t>
      </w:r>
    </w:p>
    <w:p w14:paraId="4143D448" w14:textId="2C456A21" w:rsidR="0035568C" w:rsidRPr="008554B0" w:rsidRDefault="008554B0" w:rsidP="0077548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 w:rsidRPr="008554B0">
        <w:rPr>
          <w:rFonts w:ascii="Roboto" w:eastAsia="Times New Roman" w:hAnsi="Roboto" w:cs="Times New Roman"/>
          <w:sz w:val="24"/>
          <w:szCs w:val="24"/>
        </w:rPr>
        <w:t>Insert</w:t>
      </w:r>
      <w:r w:rsidR="00152E25" w:rsidRPr="008554B0">
        <w:rPr>
          <w:rFonts w:ascii="Roboto" w:eastAsia="Times New Roman" w:hAnsi="Roboto" w:cs="Times New Roman"/>
          <w:sz w:val="24"/>
          <w:szCs w:val="24"/>
        </w:rPr>
        <w:t xml:space="preserve"> t</w:t>
      </w:r>
      <w:r w:rsidRPr="008554B0">
        <w:rPr>
          <w:rFonts w:ascii="Roboto" w:eastAsia="Times New Roman" w:hAnsi="Roboto" w:cs="Times New Roman"/>
          <w:sz w:val="24"/>
          <w:szCs w:val="24"/>
        </w:rPr>
        <w:t>he</w:t>
      </w:r>
      <w:r w:rsidR="00063C42">
        <w:rPr>
          <w:rFonts w:ascii="Roboto" w:eastAsia="Times New Roman" w:hAnsi="Roboto" w:cs="Times New Roman"/>
          <w:sz w:val="24"/>
          <w:szCs w:val="24"/>
        </w:rPr>
        <w:t xml:space="preserve"> simulation of defaults of one counterparty</w:t>
      </w:r>
      <w:r w:rsidRPr="008554B0">
        <w:rPr>
          <w:rFonts w:ascii="Roboto" w:eastAsia="Times New Roman" w:hAnsi="Roboto" w:cs="Times New Roman"/>
          <w:sz w:val="24"/>
          <w:szCs w:val="24"/>
        </w:rPr>
        <w:t xml:space="preserve">, taking into account </w:t>
      </w:r>
      <w:r w:rsidR="00152E25" w:rsidRPr="008554B0">
        <w:rPr>
          <w:rFonts w:ascii="Roboto" w:eastAsia="Times New Roman" w:hAnsi="Roboto" w:cs="Times New Roman"/>
          <w:sz w:val="24"/>
          <w:szCs w:val="24"/>
        </w:rPr>
        <w:t xml:space="preserve">the correlation between </w:t>
      </w:r>
      <w:r>
        <w:rPr>
          <w:rFonts w:ascii="Roboto" w:eastAsia="Times New Roman" w:hAnsi="Roboto" w:cs="Times New Roman"/>
          <w:sz w:val="24"/>
          <w:szCs w:val="24"/>
        </w:rPr>
        <w:t xml:space="preserve">the </w:t>
      </w:r>
      <w:r w:rsidR="00152E25" w:rsidRPr="008554B0">
        <w:rPr>
          <w:rFonts w:ascii="Roboto" w:eastAsia="Times New Roman" w:hAnsi="Roboto" w:cs="Times New Roman"/>
          <w:sz w:val="24"/>
          <w:szCs w:val="24"/>
        </w:rPr>
        <w:t xml:space="preserve">default </w:t>
      </w:r>
      <w:r>
        <w:rPr>
          <w:rFonts w:ascii="Roboto" w:eastAsia="Times New Roman" w:hAnsi="Roboto" w:cs="Times New Roman"/>
          <w:sz w:val="24"/>
          <w:szCs w:val="24"/>
        </w:rPr>
        <w:t>events of the</w:t>
      </w:r>
      <w:r w:rsidR="00063C42">
        <w:rPr>
          <w:rFonts w:ascii="Roboto" w:eastAsia="Times New Roman" w:hAnsi="Roboto" w:cs="Times New Roman"/>
          <w:sz w:val="24"/>
          <w:szCs w:val="24"/>
        </w:rPr>
        <w:t xml:space="preserve"> counterparty and</w:t>
      </w:r>
      <w:r>
        <w:rPr>
          <w:rFonts w:ascii="Roboto" w:eastAsia="Times New Roman" w:hAnsi="Roboto" w:cs="Times New Roman"/>
          <w:sz w:val="24"/>
          <w:szCs w:val="24"/>
        </w:rPr>
        <w:t xml:space="preserve"> the movements of</w:t>
      </w:r>
      <w:r w:rsidR="00152E25" w:rsidRPr="008554B0">
        <w:rPr>
          <w:rFonts w:ascii="Roboto" w:eastAsia="Times New Roman" w:hAnsi="Roboto" w:cs="Times New Roman"/>
          <w:sz w:val="24"/>
          <w:szCs w:val="24"/>
        </w:rPr>
        <w:t xml:space="preserve"> IR and FX rates via a virtual global factor;</w:t>
      </w:r>
    </w:p>
    <w:p w14:paraId="72B1E7B7" w14:textId="3292B672" w:rsidR="00152E25" w:rsidRDefault="00152E25" w:rsidP="00B949C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Link the simulation engine w</w:t>
      </w:r>
      <w:r w:rsidR="008554B0">
        <w:rPr>
          <w:rFonts w:ascii="Roboto" w:eastAsia="Times New Roman" w:hAnsi="Roboto" w:cs="Times New Roman"/>
          <w:sz w:val="24"/>
          <w:szCs w:val="24"/>
        </w:rPr>
        <w:t xml:space="preserve">ith the </w:t>
      </w:r>
      <w:proofErr w:type="spellStart"/>
      <w:r w:rsidR="008554B0">
        <w:rPr>
          <w:rFonts w:ascii="Roboto" w:eastAsia="Times New Roman" w:hAnsi="Roboto" w:cs="Times New Roman"/>
          <w:sz w:val="24"/>
          <w:szCs w:val="24"/>
        </w:rPr>
        <w:t>pricers</w:t>
      </w:r>
      <w:proofErr w:type="spellEnd"/>
      <w:r w:rsidR="008554B0">
        <w:rPr>
          <w:rFonts w:ascii="Roboto" w:eastAsia="Times New Roman" w:hAnsi="Roboto" w:cs="Times New Roman"/>
          <w:sz w:val="24"/>
          <w:szCs w:val="24"/>
        </w:rPr>
        <w:t xml:space="preserve"> we already have to yield </w:t>
      </w:r>
      <w:proofErr w:type="spellStart"/>
      <w:r w:rsidR="008554B0">
        <w:rPr>
          <w:rFonts w:ascii="Roboto" w:eastAsia="Times New Roman" w:hAnsi="Roboto" w:cs="Times New Roman"/>
          <w:sz w:val="24"/>
          <w:szCs w:val="24"/>
        </w:rPr>
        <w:t>MtM</w:t>
      </w:r>
      <w:proofErr w:type="spellEnd"/>
      <w:r w:rsidR="008554B0">
        <w:rPr>
          <w:rFonts w:ascii="Roboto" w:eastAsia="Times New Roman" w:hAnsi="Roboto" w:cs="Times New Roman"/>
          <w:sz w:val="24"/>
          <w:szCs w:val="24"/>
        </w:rPr>
        <w:t xml:space="preserve"> scenarios</w:t>
      </w:r>
      <w:r w:rsidR="00063C42">
        <w:rPr>
          <w:rFonts w:ascii="Roboto" w:eastAsia="Times New Roman" w:hAnsi="Roboto" w:cs="Times New Roman"/>
          <w:sz w:val="24"/>
          <w:szCs w:val="24"/>
        </w:rPr>
        <w:t xml:space="preserve"> per trade;</w:t>
      </w:r>
      <w:r w:rsidR="008554B0">
        <w:rPr>
          <w:rFonts w:ascii="Roboto" w:eastAsia="Times New Roman" w:hAnsi="Roboto" w:cs="Times New Roman"/>
          <w:sz w:val="24"/>
          <w:szCs w:val="24"/>
        </w:rPr>
        <w:t xml:space="preserve"> </w:t>
      </w:r>
    </w:p>
    <w:p w14:paraId="2380CF18" w14:textId="76921C93" w:rsidR="00152E25" w:rsidRDefault="00063C42" w:rsidP="00B949C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Aggregate the scenarios to yield a total</w:t>
      </w:r>
      <w:r w:rsidR="00152E25">
        <w:rPr>
          <w:rFonts w:ascii="Roboto" w:eastAsia="Times New Roman" w:hAnsi="Roboto" w:cs="Times New Roman"/>
          <w:sz w:val="24"/>
          <w:szCs w:val="24"/>
        </w:rPr>
        <w:t xml:space="preserve"> loss distribution</w:t>
      </w:r>
      <w:r w:rsidR="00394B12">
        <w:rPr>
          <w:rFonts w:ascii="Roboto" w:eastAsia="Times New Roman" w:hAnsi="Roboto" w:cs="Times New Roman"/>
          <w:sz w:val="24"/>
          <w:szCs w:val="24"/>
        </w:rPr>
        <w:t>;</w:t>
      </w:r>
    </w:p>
    <w:p w14:paraId="54B10D69" w14:textId="7CA2FA7F" w:rsidR="00394B12" w:rsidRPr="00B949CE" w:rsidRDefault="00394B12" w:rsidP="00B949C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 xml:space="preserve">Compare the results </w:t>
      </w:r>
      <w:r w:rsidR="00063C42">
        <w:rPr>
          <w:rFonts w:ascii="Roboto" w:eastAsia="Times New Roman" w:hAnsi="Roboto" w:cs="Times New Roman"/>
          <w:sz w:val="24"/>
          <w:szCs w:val="24"/>
        </w:rPr>
        <w:t xml:space="preserve">from this integrated approach </w:t>
      </w:r>
      <w:r>
        <w:rPr>
          <w:rFonts w:ascii="Roboto" w:eastAsia="Times New Roman" w:hAnsi="Roboto" w:cs="Times New Roman"/>
          <w:sz w:val="24"/>
          <w:szCs w:val="24"/>
        </w:rPr>
        <w:t xml:space="preserve">with </w:t>
      </w:r>
      <w:r w:rsidR="00063C42">
        <w:rPr>
          <w:rFonts w:ascii="Roboto" w:eastAsia="Times New Roman" w:hAnsi="Roboto" w:cs="Times New Roman"/>
          <w:sz w:val="24"/>
          <w:szCs w:val="24"/>
        </w:rPr>
        <w:t xml:space="preserve">those from </w:t>
      </w:r>
      <w:r>
        <w:rPr>
          <w:rFonts w:ascii="Roboto" w:eastAsia="Times New Roman" w:hAnsi="Roboto" w:cs="Times New Roman"/>
          <w:sz w:val="24"/>
          <w:szCs w:val="24"/>
        </w:rPr>
        <w:t>the loan-equivalent approach using SA-CCR EADs.</w:t>
      </w:r>
    </w:p>
    <w:p w14:paraId="6A2AD232" w14:textId="764BE9E4" w:rsidR="00D11B5B" w:rsidRDefault="00D11B5B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64245EA5" w14:textId="77777777" w:rsidR="00D11B5B" w:rsidRPr="00410A97" w:rsidRDefault="00D11B5B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7AAD3284" w14:textId="59F3FE11" w:rsidR="00BA7680" w:rsidRPr="002D4AC3" w:rsidRDefault="00BA7680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sz w:val="24"/>
          <w:szCs w:val="24"/>
          <w:u w:val="single"/>
        </w:rPr>
      </w:pPr>
      <w:r w:rsidRPr="002D4AC3">
        <w:rPr>
          <w:rFonts w:ascii="Roboto" w:eastAsia="Times New Roman" w:hAnsi="Roboto" w:cs="Times New Roman"/>
          <w:b/>
          <w:bCs/>
          <w:sz w:val="24"/>
          <w:szCs w:val="24"/>
          <w:u w:val="single"/>
        </w:rPr>
        <w:t xml:space="preserve">Contact </w:t>
      </w:r>
    </w:p>
    <w:p w14:paraId="7D1B900C" w14:textId="77777777" w:rsidR="00BA7680" w:rsidRPr="00410A97" w:rsidRDefault="00BA7680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1ECF2D2A" w14:textId="4F9079B6" w:rsidR="00E25170" w:rsidRPr="00410A97" w:rsidRDefault="00A84415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 w:rsidRPr="00410A97">
        <w:rPr>
          <w:rFonts w:ascii="Roboto" w:eastAsia="Times New Roman" w:hAnsi="Roboto" w:cs="Times New Roman"/>
          <w:sz w:val="24"/>
          <w:szCs w:val="24"/>
        </w:rPr>
        <w:t xml:space="preserve">If you are interested to </w:t>
      </w:r>
      <w:r w:rsidR="0040637F">
        <w:rPr>
          <w:rFonts w:ascii="Roboto" w:eastAsia="Times New Roman" w:hAnsi="Roboto" w:cs="Times New Roman"/>
          <w:sz w:val="24"/>
          <w:szCs w:val="24"/>
        </w:rPr>
        <w:t>enter</w:t>
      </w:r>
      <w:r w:rsidRPr="00410A97">
        <w:rPr>
          <w:rFonts w:ascii="Roboto" w:eastAsia="Times New Roman" w:hAnsi="Roboto" w:cs="Times New Roman"/>
          <w:sz w:val="24"/>
          <w:szCs w:val="24"/>
        </w:rPr>
        <w:t xml:space="preserve"> the field of quantitative risk analysis, this is a very good starting point. </w:t>
      </w:r>
      <w:r w:rsidR="00E25170" w:rsidRPr="00410A97">
        <w:rPr>
          <w:rFonts w:ascii="Roboto" w:eastAsia="Times New Roman" w:hAnsi="Roboto" w:cs="Times New Roman"/>
          <w:sz w:val="24"/>
          <w:szCs w:val="24"/>
        </w:rPr>
        <w:t xml:space="preserve">Please feel free to </w:t>
      </w:r>
      <w:r w:rsidR="007268B1" w:rsidRPr="00410A97">
        <w:rPr>
          <w:rFonts w:ascii="Roboto" w:eastAsia="Times New Roman" w:hAnsi="Roboto" w:cs="Times New Roman"/>
          <w:sz w:val="24"/>
          <w:szCs w:val="24"/>
        </w:rPr>
        <w:t xml:space="preserve">contact me directly </w:t>
      </w:r>
      <w:r w:rsidR="0040637F">
        <w:rPr>
          <w:rFonts w:ascii="Roboto" w:eastAsia="Times New Roman" w:hAnsi="Roboto" w:cs="Times New Roman"/>
          <w:sz w:val="24"/>
          <w:szCs w:val="24"/>
        </w:rPr>
        <w:t>if this topic is of your interest,</w:t>
      </w:r>
      <w:r w:rsidR="00B949CE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40637F">
        <w:rPr>
          <w:rFonts w:ascii="Roboto" w:eastAsia="Times New Roman" w:hAnsi="Roboto" w:cs="Times New Roman"/>
          <w:sz w:val="24"/>
          <w:szCs w:val="24"/>
        </w:rPr>
        <w:t xml:space="preserve">or if you would like to learn </w:t>
      </w:r>
      <w:r w:rsidR="007268B1" w:rsidRPr="00410A97">
        <w:rPr>
          <w:rFonts w:ascii="Roboto" w:eastAsia="Times New Roman" w:hAnsi="Roboto" w:cs="Times New Roman"/>
          <w:sz w:val="24"/>
          <w:szCs w:val="24"/>
        </w:rPr>
        <w:t xml:space="preserve">more </w:t>
      </w:r>
      <w:r w:rsidR="0040637F">
        <w:rPr>
          <w:rFonts w:ascii="Roboto" w:eastAsia="Times New Roman" w:hAnsi="Roboto" w:cs="Times New Roman"/>
          <w:sz w:val="24"/>
          <w:szCs w:val="24"/>
        </w:rPr>
        <w:t>details</w:t>
      </w:r>
      <w:r w:rsidR="007268B1" w:rsidRPr="00410A97">
        <w:rPr>
          <w:rFonts w:ascii="Roboto" w:eastAsia="Times New Roman" w:hAnsi="Roboto" w:cs="Times New Roman"/>
          <w:sz w:val="24"/>
          <w:szCs w:val="24"/>
        </w:rPr>
        <w:t xml:space="preserve">: </w:t>
      </w:r>
      <w:r w:rsidR="0040637F">
        <w:rPr>
          <w:rFonts w:ascii="Roboto" w:eastAsia="Times New Roman" w:hAnsi="Roboto" w:cs="Times New Roman"/>
          <w:sz w:val="24"/>
          <w:szCs w:val="24"/>
        </w:rPr>
        <w:t xml:space="preserve"> </w:t>
      </w:r>
      <w:hyperlink r:id="rId11" w:history="1">
        <w:r w:rsidR="00D11B5B" w:rsidRPr="005B132E">
          <w:rPr>
            <w:rStyle w:val="Hyperlink"/>
            <w:rFonts w:ascii="Roboto" w:eastAsia="Times New Roman" w:hAnsi="Roboto" w:cs="Times New Roman"/>
            <w:sz w:val="24"/>
            <w:szCs w:val="24"/>
          </w:rPr>
          <w:t>fang.fang@ffquant.nl</w:t>
        </w:r>
      </w:hyperlink>
      <w:r w:rsidR="00D11B5B">
        <w:rPr>
          <w:rFonts w:ascii="Roboto" w:eastAsia="Times New Roman" w:hAnsi="Roboto" w:cs="Times New Roman"/>
          <w:sz w:val="24"/>
          <w:szCs w:val="24"/>
        </w:rPr>
        <w:t xml:space="preserve"> or </w:t>
      </w:r>
      <w:hyperlink r:id="rId12" w:history="1">
        <w:r w:rsidR="00D11B5B" w:rsidRPr="005B132E">
          <w:rPr>
            <w:rStyle w:val="Hyperlink"/>
            <w:rFonts w:ascii="Roboto" w:eastAsia="Times New Roman" w:hAnsi="Roboto" w:cs="Times New Roman"/>
            <w:sz w:val="24"/>
            <w:szCs w:val="24"/>
          </w:rPr>
          <w:t>f.fang@tudelft.nl</w:t>
        </w:r>
      </w:hyperlink>
      <w:r w:rsidR="00D11B5B">
        <w:rPr>
          <w:rFonts w:ascii="Roboto" w:eastAsia="Times New Roman" w:hAnsi="Roboto" w:cs="Times New Roman"/>
          <w:sz w:val="24"/>
          <w:szCs w:val="24"/>
        </w:rPr>
        <w:t xml:space="preserve"> </w:t>
      </w:r>
    </w:p>
    <w:p w14:paraId="5FC35090" w14:textId="77777777" w:rsidR="00530520" w:rsidRPr="00974A00" w:rsidRDefault="00530520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A6A6A6" w:themeColor="background1" w:themeShade="A6"/>
          <w:sz w:val="24"/>
          <w:szCs w:val="24"/>
          <w:u w:val="single"/>
        </w:rPr>
      </w:pPr>
    </w:p>
    <w:p w14:paraId="7FD2D6FC" w14:textId="04A48DAB" w:rsidR="00530520" w:rsidRPr="00974A00" w:rsidRDefault="00530520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A6A6A6" w:themeColor="background1" w:themeShade="A6"/>
          <w:sz w:val="24"/>
          <w:szCs w:val="24"/>
          <w:u w:val="single"/>
        </w:rPr>
      </w:pPr>
    </w:p>
    <w:p w14:paraId="37DB90A5" w14:textId="2E3A778D" w:rsidR="00D11B5B" w:rsidRDefault="00D11B5B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A6A6A6" w:themeColor="background1" w:themeShade="A6"/>
          <w:sz w:val="24"/>
          <w:szCs w:val="24"/>
          <w:u w:val="single"/>
        </w:rPr>
      </w:pPr>
    </w:p>
    <w:p w14:paraId="140936D0" w14:textId="77777777" w:rsidR="00D11B5B" w:rsidRDefault="00D11B5B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A6A6A6" w:themeColor="background1" w:themeShade="A6"/>
          <w:sz w:val="24"/>
          <w:szCs w:val="24"/>
          <w:u w:val="single"/>
        </w:rPr>
      </w:pPr>
    </w:p>
    <w:p w14:paraId="4E220FA4" w14:textId="77777777" w:rsidR="00063C42" w:rsidRDefault="00063C42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A6A6A6" w:themeColor="background1" w:themeShade="A6"/>
          <w:sz w:val="24"/>
          <w:szCs w:val="24"/>
          <w:u w:val="single"/>
        </w:rPr>
      </w:pPr>
    </w:p>
    <w:p w14:paraId="10F5FBAF" w14:textId="77777777" w:rsidR="00063C42" w:rsidRDefault="00063C42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A6A6A6" w:themeColor="background1" w:themeShade="A6"/>
          <w:sz w:val="24"/>
          <w:szCs w:val="24"/>
          <w:u w:val="single"/>
        </w:rPr>
      </w:pPr>
    </w:p>
    <w:p w14:paraId="42B3872C" w14:textId="5E76DC80" w:rsidR="00BA7680" w:rsidRPr="002D4AC3" w:rsidRDefault="0026409A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A6A6A6" w:themeColor="background1" w:themeShade="A6"/>
          <w:sz w:val="24"/>
          <w:szCs w:val="24"/>
          <w:u w:val="single"/>
        </w:rPr>
      </w:pPr>
      <w:r w:rsidRPr="002D4AC3">
        <w:rPr>
          <w:rFonts w:ascii="Roboto" w:eastAsia="Times New Roman" w:hAnsi="Roboto" w:cs="Times New Roman"/>
          <w:b/>
          <w:bCs/>
          <w:color w:val="A6A6A6" w:themeColor="background1" w:themeShade="A6"/>
          <w:sz w:val="24"/>
          <w:szCs w:val="24"/>
          <w:u w:val="single"/>
        </w:rPr>
        <w:lastRenderedPageBreak/>
        <w:t xml:space="preserve">About </w:t>
      </w:r>
      <w:r w:rsidR="00B37362" w:rsidRPr="002D4AC3">
        <w:rPr>
          <w:rFonts w:ascii="Roboto" w:eastAsia="Times New Roman" w:hAnsi="Roboto" w:cs="Times New Roman"/>
          <w:b/>
          <w:bCs/>
          <w:color w:val="A6A6A6" w:themeColor="background1" w:themeShade="A6"/>
          <w:sz w:val="24"/>
          <w:szCs w:val="24"/>
          <w:u w:val="single"/>
        </w:rPr>
        <w:t>FF Quant Advisory B.V.</w:t>
      </w:r>
      <w:r w:rsidR="00B46C3A" w:rsidRPr="002D4AC3">
        <w:rPr>
          <w:rFonts w:ascii="Roboto" w:eastAsia="Times New Roman" w:hAnsi="Roboto" w:cs="Times New Roman"/>
          <w:b/>
          <w:bCs/>
          <w:color w:val="A6A6A6" w:themeColor="background1" w:themeShade="A6"/>
          <w:sz w:val="24"/>
          <w:szCs w:val="24"/>
          <w:u w:val="single"/>
        </w:rPr>
        <w:t xml:space="preserve"> </w:t>
      </w:r>
    </w:p>
    <w:p w14:paraId="74D970E2" w14:textId="77777777" w:rsidR="00BA7680" w:rsidRPr="002D4AC3" w:rsidRDefault="00BA7680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A6A6A6" w:themeColor="background1" w:themeShade="A6"/>
          <w:sz w:val="24"/>
          <w:szCs w:val="24"/>
        </w:rPr>
      </w:pPr>
    </w:p>
    <w:p w14:paraId="327781C7" w14:textId="77777777" w:rsidR="000459C9" w:rsidRPr="00144DF5" w:rsidRDefault="00B46C3A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A6A6A6" w:themeColor="background1" w:themeShade="A6"/>
          <w:sz w:val="24"/>
          <w:szCs w:val="24"/>
          <w:lang w:val="nl-NL"/>
        </w:rPr>
      </w:pPr>
      <w:r w:rsidRPr="00144DF5">
        <w:rPr>
          <w:rFonts w:ascii="Roboto" w:eastAsia="Times New Roman" w:hAnsi="Roboto" w:cs="Times New Roman"/>
          <w:color w:val="A6A6A6" w:themeColor="background1" w:themeShade="A6"/>
          <w:sz w:val="24"/>
          <w:szCs w:val="24"/>
          <w:lang w:val="nl-NL"/>
        </w:rPr>
        <w:t>KvK nr.</w:t>
      </w:r>
      <w:r w:rsidR="000459C9" w:rsidRPr="00144DF5">
        <w:rPr>
          <w:rFonts w:ascii="Roboto" w:eastAsia="Times New Roman" w:hAnsi="Roboto" w:cs="Times New Roman"/>
          <w:color w:val="A6A6A6" w:themeColor="background1" w:themeShade="A6"/>
          <w:sz w:val="24"/>
          <w:szCs w:val="24"/>
          <w:lang w:val="nl-NL"/>
        </w:rPr>
        <w:t>:</w:t>
      </w:r>
      <w:r w:rsidRPr="00144DF5">
        <w:rPr>
          <w:rFonts w:ascii="Roboto" w:eastAsia="Times New Roman" w:hAnsi="Roboto" w:cs="Times New Roman"/>
          <w:color w:val="A6A6A6" w:themeColor="background1" w:themeShade="A6"/>
          <w:sz w:val="24"/>
          <w:szCs w:val="24"/>
          <w:lang w:val="nl-NL"/>
        </w:rPr>
        <w:t xml:space="preserve"> 70817979</w:t>
      </w:r>
    </w:p>
    <w:p w14:paraId="65F288A1" w14:textId="03FB54A1" w:rsidR="000459C9" w:rsidRPr="00144DF5" w:rsidRDefault="004F378D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A6A6A6" w:themeColor="background1" w:themeShade="A6"/>
          <w:sz w:val="24"/>
          <w:szCs w:val="24"/>
          <w:lang w:val="nl-NL"/>
        </w:rPr>
      </w:pPr>
      <w:hyperlink r:id="rId13" w:history="1">
        <w:r w:rsidR="000459C9" w:rsidRPr="00144DF5">
          <w:rPr>
            <w:rFonts w:ascii="Roboto" w:eastAsia="Times New Roman" w:hAnsi="Roboto" w:cs="Times New Roman"/>
            <w:color w:val="A6A6A6" w:themeColor="background1" w:themeShade="A6"/>
            <w:sz w:val="24"/>
            <w:szCs w:val="24"/>
            <w:lang w:val="nl-NL"/>
          </w:rPr>
          <w:t>http://fsquaredquant.nl/</w:t>
        </w:r>
      </w:hyperlink>
      <w:r w:rsidR="000459C9" w:rsidRPr="00144DF5">
        <w:rPr>
          <w:rFonts w:ascii="Roboto" w:eastAsia="Times New Roman" w:hAnsi="Roboto" w:cs="Times New Roman"/>
          <w:color w:val="A6A6A6" w:themeColor="background1" w:themeShade="A6"/>
          <w:sz w:val="24"/>
          <w:szCs w:val="24"/>
          <w:lang w:val="nl-NL"/>
        </w:rPr>
        <w:t xml:space="preserve">  </w:t>
      </w:r>
    </w:p>
    <w:p w14:paraId="5BEA5976" w14:textId="77777777" w:rsidR="000459C9" w:rsidRPr="00144DF5" w:rsidRDefault="000459C9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A6A6A6" w:themeColor="background1" w:themeShade="A6"/>
          <w:sz w:val="24"/>
          <w:szCs w:val="24"/>
          <w:lang w:val="nl-NL"/>
        </w:rPr>
      </w:pPr>
    </w:p>
    <w:p w14:paraId="7BAEF55D" w14:textId="3E2467B3" w:rsidR="00410A97" w:rsidRPr="002D4AC3" w:rsidRDefault="00410A97" w:rsidP="00144DF5">
      <w:pPr>
        <w:pStyle w:val="NormalWeb"/>
        <w:shd w:val="clear" w:color="auto" w:fill="FFFFFF"/>
        <w:spacing w:before="0" w:beforeAutospacing="0" w:after="240" w:afterAutospacing="0" w:line="360" w:lineRule="atLeast"/>
        <w:jc w:val="both"/>
        <w:rPr>
          <w:rFonts w:ascii="Roboto" w:hAnsi="Roboto"/>
          <w:color w:val="A6A6A6" w:themeColor="background1" w:themeShade="A6"/>
        </w:rPr>
      </w:pPr>
      <w:r w:rsidRPr="002D4AC3">
        <w:rPr>
          <w:rFonts w:ascii="Roboto" w:hAnsi="Roboto"/>
          <w:color w:val="A6A6A6" w:themeColor="background1" w:themeShade="A6"/>
        </w:rPr>
        <w:t>We provide quantitative consulting services to banks, insurance companies and other financial institutions. Our expertise include the development, validation and audit of regulatory and non-regulatory risk models and</w:t>
      </w:r>
      <w:r w:rsidR="0035568C">
        <w:rPr>
          <w:rFonts w:ascii="Roboto" w:hAnsi="Roboto"/>
          <w:color w:val="A6A6A6" w:themeColor="background1" w:themeShade="A6"/>
        </w:rPr>
        <w:t xml:space="preserve"> of pricing models for</w:t>
      </w:r>
      <w:r w:rsidRPr="002D4AC3">
        <w:rPr>
          <w:rFonts w:ascii="Roboto" w:hAnsi="Roboto"/>
          <w:color w:val="A6A6A6" w:themeColor="background1" w:themeShade="A6"/>
        </w:rPr>
        <w:t xml:space="preserve"> financial instruments.</w:t>
      </w:r>
    </w:p>
    <w:p w14:paraId="57C26EDF" w14:textId="31E2A079" w:rsidR="00A61BE8" w:rsidRDefault="00410A97" w:rsidP="00144DF5">
      <w:pPr>
        <w:pStyle w:val="NormalWeb"/>
        <w:shd w:val="clear" w:color="auto" w:fill="FFFFFF"/>
        <w:spacing w:before="0" w:beforeAutospacing="0" w:after="240" w:afterAutospacing="0" w:line="360" w:lineRule="atLeast"/>
        <w:jc w:val="both"/>
      </w:pPr>
      <w:r w:rsidRPr="002D4AC3">
        <w:rPr>
          <w:rFonts w:ascii="Roboto" w:hAnsi="Roboto"/>
          <w:color w:val="A6A6A6" w:themeColor="background1" w:themeShade="A6"/>
        </w:rPr>
        <w:t xml:space="preserve">We are also specialized in researching, developing and testing quantitative toolkits. Other services include, but are not limited to, </w:t>
      </w:r>
      <w:proofErr w:type="spellStart"/>
      <w:r w:rsidRPr="002D4AC3">
        <w:rPr>
          <w:rFonts w:ascii="Roboto" w:hAnsi="Roboto"/>
          <w:color w:val="A6A6A6" w:themeColor="background1" w:themeShade="A6"/>
        </w:rPr>
        <w:t>backtesting</w:t>
      </w:r>
      <w:proofErr w:type="spellEnd"/>
      <w:r w:rsidRPr="002D4AC3">
        <w:rPr>
          <w:rFonts w:ascii="Roboto" w:hAnsi="Roboto"/>
          <w:color w:val="A6A6A6" w:themeColor="background1" w:themeShade="A6"/>
        </w:rPr>
        <w:t xml:space="preserve"> of trading strategies, applying machine learning techniques to replace traditional quantitative models, etc.</w:t>
      </w:r>
    </w:p>
    <w:p w14:paraId="43073542" w14:textId="77777777" w:rsidR="00530520" w:rsidRPr="00410A97" w:rsidRDefault="00530520">
      <w:bookmarkStart w:id="0" w:name="_GoBack"/>
      <w:bookmarkEnd w:id="0"/>
    </w:p>
    <w:sectPr w:rsidR="00530520" w:rsidRPr="00410A97" w:rsidSect="00320524">
      <w:headerReference w:type="default" r:id="rId14"/>
      <w:footerReference w:type="default" r:id="rId15"/>
      <w:pgSz w:w="11906" w:h="16838"/>
      <w:pgMar w:top="15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BCC4" w14:textId="77777777" w:rsidR="004F378D" w:rsidRDefault="004F378D" w:rsidP="00B905D7">
      <w:pPr>
        <w:spacing w:after="0" w:line="240" w:lineRule="auto"/>
      </w:pPr>
      <w:r>
        <w:separator/>
      </w:r>
    </w:p>
  </w:endnote>
  <w:endnote w:type="continuationSeparator" w:id="0">
    <w:p w14:paraId="3D607BF0" w14:textId="77777777" w:rsidR="004F378D" w:rsidRDefault="004F378D" w:rsidP="00B905D7">
      <w:pPr>
        <w:spacing w:after="0" w:line="240" w:lineRule="auto"/>
      </w:pPr>
      <w:r>
        <w:continuationSeparator/>
      </w:r>
    </w:p>
  </w:endnote>
  <w:endnote w:type="continuationNotice" w:id="1">
    <w:p w14:paraId="6B56BE9A" w14:textId="77777777" w:rsidR="004F378D" w:rsidRDefault="004F37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601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AAF537" w14:textId="48F1B707" w:rsidR="00312A68" w:rsidRDefault="00312A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C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4B47B" w14:textId="77777777" w:rsidR="00312A68" w:rsidRDefault="00312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853F2" w14:textId="77777777" w:rsidR="004F378D" w:rsidRDefault="004F378D" w:rsidP="00B905D7">
      <w:pPr>
        <w:spacing w:after="0" w:line="240" w:lineRule="auto"/>
      </w:pPr>
      <w:r>
        <w:separator/>
      </w:r>
    </w:p>
  </w:footnote>
  <w:footnote w:type="continuationSeparator" w:id="0">
    <w:p w14:paraId="4EBBADF6" w14:textId="77777777" w:rsidR="004F378D" w:rsidRDefault="004F378D" w:rsidP="00B905D7">
      <w:pPr>
        <w:spacing w:after="0" w:line="240" w:lineRule="auto"/>
      </w:pPr>
      <w:r>
        <w:continuationSeparator/>
      </w:r>
    </w:p>
  </w:footnote>
  <w:footnote w:type="continuationNotice" w:id="1">
    <w:p w14:paraId="51B82389" w14:textId="77777777" w:rsidR="004F378D" w:rsidRDefault="004F378D">
      <w:pPr>
        <w:spacing w:after="0" w:line="240" w:lineRule="auto"/>
      </w:pPr>
    </w:p>
  </w:footnote>
  <w:footnote w:id="2">
    <w:p w14:paraId="200411FE" w14:textId="3F24D38D" w:rsidR="00312A68" w:rsidRDefault="00312A68">
      <w:pPr>
        <w:pStyle w:val="FootnoteText"/>
      </w:pPr>
      <w:r>
        <w:rPr>
          <w:rStyle w:val="FootnoteReference"/>
        </w:rPr>
        <w:footnoteRef/>
      </w:r>
      <w:r>
        <w:t xml:space="preserve"> Part-time Assistant professor at the Applied Mathematics Department of TU Delft</w:t>
      </w:r>
      <w:r>
        <w:rPr>
          <w:noProof/>
        </w:rPr>
        <w:t xml:space="preserve">; Director of FF Quant Advisory B.V. </w:t>
      </w:r>
      <w:r w:rsidRPr="004A1D4B">
        <w:rPr>
          <w:noProof/>
        </w:rPr>
        <w:t>https://fsquaredquant.nl/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CA8E4" w14:textId="397D9A6F" w:rsidR="00312A68" w:rsidRDefault="00312A68" w:rsidP="00E12525">
    <w:pPr>
      <w:pStyle w:val="Header"/>
      <w:jc w:val="right"/>
    </w:pPr>
    <w:r>
      <w:rPr>
        <w:noProof/>
        <w:lang w:val="en-GB"/>
      </w:rPr>
      <w:drawing>
        <wp:inline distT="0" distB="0" distL="0" distR="0" wp14:anchorId="229A780E" wp14:editId="56755CFE">
          <wp:extent cx="1019175" cy="302260"/>
          <wp:effectExtent l="0" t="0" r="9525" b="2540"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1DEB"/>
    <w:multiLevelType w:val="hybridMultilevel"/>
    <w:tmpl w:val="6DB6794C"/>
    <w:lvl w:ilvl="0" w:tplc="49DAB544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A6E"/>
    <w:multiLevelType w:val="hybridMultilevel"/>
    <w:tmpl w:val="346A4CA0"/>
    <w:lvl w:ilvl="0" w:tplc="8EE2155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14923"/>
    <w:multiLevelType w:val="hybridMultilevel"/>
    <w:tmpl w:val="0A748A10"/>
    <w:lvl w:ilvl="0" w:tplc="144E511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76772"/>
    <w:multiLevelType w:val="hybridMultilevel"/>
    <w:tmpl w:val="9B86C8B4"/>
    <w:lvl w:ilvl="0" w:tplc="791A7A3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nl-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B4"/>
    <w:rsid w:val="000459C9"/>
    <w:rsid w:val="00063C42"/>
    <w:rsid w:val="000946DF"/>
    <w:rsid w:val="000B0C36"/>
    <w:rsid w:val="000D4B07"/>
    <w:rsid w:val="000F7C72"/>
    <w:rsid w:val="00105395"/>
    <w:rsid w:val="00105EF6"/>
    <w:rsid w:val="0013456F"/>
    <w:rsid w:val="001371D1"/>
    <w:rsid w:val="001375AF"/>
    <w:rsid w:val="0014258C"/>
    <w:rsid w:val="00142957"/>
    <w:rsid w:val="00142C38"/>
    <w:rsid w:val="00144DF5"/>
    <w:rsid w:val="001513FB"/>
    <w:rsid w:val="00152E25"/>
    <w:rsid w:val="00153277"/>
    <w:rsid w:val="00162CC2"/>
    <w:rsid w:val="00181347"/>
    <w:rsid w:val="001A191D"/>
    <w:rsid w:val="001A7DD1"/>
    <w:rsid w:val="001C1225"/>
    <w:rsid w:val="001C1B5A"/>
    <w:rsid w:val="001D7DB5"/>
    <w:rsid w:val="001E2BFD"/>
    <w:rsid w:val="001E74AB"/>
    <w:rsid w:val="001F7B95"/>
    <w:rsid w:val="002360B4"/>
    <w:rsid w:val="002374C3"/>
    <w:rsid w:val="00263C7D"/>
    <w:rsid w:val="0026409A"/>
    <w:rsid w:val="00277B04"/>
    <w:rsid w:val="00295CCF"/>
    <w:rsid w:val="002C6D71"/>
    <w:rsid w:val="002D116A"/>
    <w:rsid w:val="002D4AC3"/>
    <w:rsid w:val="002F7FEE"/>
    <w:rsid w:val="00301F88"/>
    <w:rsid w:val="003042B8"/>
    <w:rsid w:val="00312A68"/>
    <w:rsid w:val="0031353E"/>
    <w:rsid w:val="00320524"/>
    <w:rsid w:val="00350AED"/>
    <w:rsid w:val="00350B60"/>
    <w:rsid w:val="0035568C"/>
    <w:rsid w:val="00372D5C"/>
    <w:rsid w:val="00391D24"/>
    <w:rsid w:val="00394341"/>
    <w:rsid w:val="00394B12"/>
    <w:rsid w:val="003A1C8D"/>
    <w:rsid w:val="003B3753"/>
    <w:rsid w:val="003C0160"/>
    <w:rsid w:val="0040637F"/>
    <w:rsid w:val="00410A97"/>
    <w:rsid w:val="00431D64"/>
    <w:rsid w:val="0043366B"/>
    <w:rsid w:val="00444B6C"/>
    <w:rsid w:val="004466CC"/>
    <w:rsid w:val="00446926"/>
    <w:rsid w:val="004917B2"/>
    <w:rsid w:val="00492592"/>
    <w:rsid w:val="004A5A39"/>
    <w:rsid w:val="004C1E7C"/>
    <w:rsid w:val="004F378D"/>
    <w:rsid w:val="00516B8D"/>
    <w:rsid w:val="00530520"/>
    <w:rsid w:val="00587EBE"/>
    <w:rsid w:val="0059588C"/>
    <w:rsid w:val="005A0B93"/>
    <w:rsid w:val="005B2A41"/>
    <w:rsid w:val="005D32B0"/>
    <w:rsid w:val="005F49E0"/>
    <w:rsid w:val="00611EC6"/>
    <w:rsid w:val="00632422"/>
    <w:rsid w:val="006447CD"/>
    <w:rsid w:val="006B4D99"/>
    <w:rsid w:val="006C249B"/>
    <w:rsid w:val="0072464E"/>
    <w:rsid w:val="007268B1"/>
    <w:rsid w:val="00736BB3"/>
    <w:rsid w:val="0074529A"/>
    <w:rsid w:val="00750EF9"/>
    <w:rsid w:val="007D0BA6"/>
    <w:rsid w:val="007D71B2"/>
    <w:rsid w:val="007E018C"/>
    <w:rsid w:val="008223B8"/>
    <w:rsid w:val="00823E42"/>
    <w:rsid w:val="0083446F"/>
    <w:rsid w:val="008554B0"/>
    <w:rsid w:val="008C4474"/>
    <w:rsid w:val="008C452D"/>
    <w:rsid w:val="008C5472"/>
    <w:rsid w:val="008E63CA"/>
    <w:rsid w:val="008F3034"/>
    <w:rsid w:val="008F43C8"/>
    <w:rsid w:val="0090458D"/>
    <w:rsid w:val="00926E29"/>
    <w:rsid w:val="009405D1"/>
    <w:rsid w:val="00947DA8"/>
    <w:rsid w:val="00956547"/>
    <w:rsid w:val="00974A00"/>
    <w:rsid w:val="00976406"/>
    <w:rsid w:val="0098579B"/>
    <w:rsid w:val="009A1E20"/>
    <w:rsid w:val="009A2DFD"/>
    <w:rsid w:val="009A39B8"/>
    <w:rsid w:val="009B02D2"/>
    <w:rsid w:val="009B78E8"/>
    <w:rsid w:val="009C5AE8"/>
    <w:rsid w:val="00A36DFA"/>
    <w:rsid w:val="00A53C93"/>
    <w:rsid w:val="00A61BE8"/>
    <w:rsid w:val="00A75640"/>
    <w:rsid w:val="00A84415"/>
    <w:rsid w:val="00AA798B"/>
    <w:rsid w:val="00AD35A9"/>
    <w:rsid w:val="00AF60C3"/>
    <w:rsid w:val="00B048BA"/>
    <w:rsid w:val="00B04F64"/>
    <w:rsid w:val="00B06A06"/>
    <w:rsid w:val="00B37362"/>
    <w:rsid w:val="00B46C3A"/>
    <w:rsid w:val="00B6430D"/>
    <w:rsid w:val="00B82744"/>
    <w:rsid w:val="00B905D7"/>
    <w:rsid w:val="00B949CE"/>
    <w:rsid w:val="00BA5E13"/>
    <w:rsid w:val="00BA6015"/>
    <w:rsid w:val="00BA7680"/>
    <w:rsid w:val="00BC4B75"/>
    <w:rsid w:val="00BE30E8"/>
    <w:rsid w:val="00BF49F7"/>
    <w:rsid w:val="00C050F0"/>
    <w:rsid w:val="00C418FA"/>
    <w:rsid w:val="00CB4C91"/>
    <w:rsid w:val="00CD3D67"/>
    <w:rsid w:val="00CE0716"/>
    <w:rsid w:val="00D05A28"/>
    <w:rsid w:val="00D11B5B"/>
    <w:rsid w:val="00D20594"/>
    <w:rsid w:val="00D326CF"/>
    <w:rsid w:val="00D35036"/>
    <w:rsid w:val="00D83FE7"/>
    <w:rsid w:val="00DA71EC"/>
    <w:rsid w:val="00DD3B34"/>
    <w:rsid w:val="00DE7BE8"/>
    <w:rsid w:val="00E12525"/>
    <w:rsid w:val="00E25170"/>
    <w:rsid w:val="00E37267"/>
    <w:rsid w:val="00E46522"/>
    <w:rsid w:val="00E80559"/>
    <w:rsid w:val="00E85146"/>
    <w:rsid w:val="00E92B82"/>
    <w:rsid w:val="00EA14C0"/>
    <w:rsid w:val="00EB6EB6"/>
    <w:rsid w:val="00F24AC0"/>
    <w:rsid w:val="00F768B5"/>
    <w:rsid w:val="00F91586"/>
    <w:rsid w:val="00FA2B97"/>
    <w:rsid w:val="00FD47F2"/>
    <w:rsid w:val="00FD4937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50573"/>
  <w15:chartTrackingRefBased/>
  <w15:docId w15:val="{F8B7CC28-BEF6-47E3-92FC-49B2DE8B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5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09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6C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5D7"/>
  </w:style>
  <w:style w:type="paragraph" w:styleId="Footer">
    <w:name w:val="footer"/>
    <w:basedOn w:val="Normal"/>
    <w:link w:val="FooterChar"/>
    <w:uiPriority w:val="99"/>
    <w:unhideWhenUsed/>
    <w:rsid w:val="00B9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5D7"/>
  </w:style>
  <w:style w:type="paragraph" w:styleId="FootnoteText">
    <w:name w:val="footnote text"/>
    <w:basedOn w:val="Normal"/>
    <w:link w:val="FootnoteTextChar"/>
    <w:uiPriority w:val="99"/>
    <w:semiHidden/>
    <w:unhideWhenUsed/>
    <w:rsid w:val="00295C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C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5CC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1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56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56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74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B5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squaredquant.n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.fang@tudelft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ng.fang@ffquant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5F49474DCBF45B2FBCCA8D5C6A461" ma:contentTypeVersion="14" ma:contentTypeDescription="Een nieuw document maken." ma:contentTypeScope="" ma:versionID="93d7a59822479aaab25ff4ec7a4c8453">
  <xsd:schema xmlns:xsd="http://www.w3.org/2001/XMLSchema" xmlns:xs="http://www.w3.org/2001/XMLSchema" xmlns:p="http://schemas.microsoft.com/office/2006/metadata/properties" xmlns:ns3="e27ee0ee-3a77-4b89-aa13-cfd385f485ff" xmlns:ns4="71d9ec23-f02e-4b00-8e21-a9252b1b51a3" targetNamespace="http://schemas.microsoft.com/office/2006/metadata/properties" ma:root="true" ma:fieldsID="22773e84ac32fd00aff033ef4b8682ae" ns3:_="" ns4:_="">
    <xsd:import namespace="e27ee0ee-3a77-4b89-aa13-cfd385f485ff"/>
    <xsd:import namespace="71d9ec23-f02e-4b00-8e21-a9252b1b51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ee0ee-3a77-4b89-aa13-cfd385f48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9ec23-f02e-4b00-8e21-a9252b1b51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4FA1C-7DF5-474D-B58B-8D871125AD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92D819-F899-413B-8632-3646DBCD1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9E5F0-CA2C-4B7E-92EB-C7E978292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ee0ee-3a77-4b89-aa13-cfd385f485ff"/>
    <ds:schemaRef ds:uri="71d9ec23-f02e-4b00-8e21-a9252b1b5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1CE1F8-31E5-4425-B339-0A8D9236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 fang</dc:creator>
  <cp:keywords/>
  <dc:description/>
  <cp:lastModifiedBy>fang fang</cp:lastModifiedBy>
  <cp:revision>8</cp:revision>
  <cp:lastPrinted>2020-07-18T10:41:00Z</cp:lastPrinted>
  <dcterms:created xsi:type="dcterms:W3CDTF">2021-10-23T14:09:00Z</dcterms:created>
  <dcterms:modified xsi:type="dcterms:W3CDTF">2021-11-06T01:06:00Z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0x0101004975F49474DCBF45B2FBCCA8D5C6A461</vt:lpwstr>
  </property>
</Properties>
</file>